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BF12" w14:textId="6E4D0651" w:rsidR="001C51A5" w:rsidRDefault="004D7D12" w:rsidP="004D7D12">
      <w:pPr>
        <w:jc w:val="center"/>
        <w:rPr>
          <w:rFonts w:ascii="Arial" w:hAnsi="Arial" w:cs="Arial"/>
          <w:b/>
          <w:bCs/>
        </w:rPr>
      </w:pPr>
      <w:r>
        <w:rPr>
          <w:rFonts w:ascii="Arial" w:hAnsi="Arial" w:cs="Arial"/>
          <w:b/>
          <w:bCs/>
          <w:i/>
          <w:iCs/>
        </w:rPr>
        <w:t xml:space="preserve">Thomas Norton v LB Haringey </w:t>
      </w:r>
      <w:r w:rsidRPr="004D7D12">
        <w:rPr>
          <w:rFonts w:ascii="Arial" w:hAnsi="Arial" w:cs="Arial"/>
          <w:b/>
          <w:bCs/>
        </w:rPr>
        <w:t xml:space="preserve">[2022] EWCA </w:t>
      </w:r>
      <w:proofErr w:type="spellStart"/>
      <w:r w:rsidRPr="004D7D12">
        <w:rPr>
          <w:rFonts w:ascii="Arial" w:hAnsi="Arial" w:cs="Arial"/>
          <w:b/>
          <w:bCs/>
        </w:rPr>
        <w:t>Civ</w:t>
      </w:r>
      <w:proofErr w:type="spellEnd"/>
      <w:r w:rsidRPr="004D7D12">
        <w:rPr>
          <w:rFonts w:ascii="Arial" w:hAnsi="Arial" w:cs="Arial"/>
          <w:b/>
          <w:bCs/>
        </w:rPr>
        <w:t xml:space="preserve"> 1340</w:t>
      </w:r>
    </w:p>
    <w:p w14:paraId="1BF8372E" w14:textId="1C69ACF7" w:rsidR="004D7D12" w:rsidRDefault="004D7D12" w:rsidP="004D7D12">
      <w:pPr>
        <w:jc w:val="left"/>
        <w:rPr>
          <w:rFonts w:ascii="Arial" w:hAnsi="Arial" w:cs="Arial"/>
          <w:b/>
          <w:bCs/>
        </w:rPr>
      </w:pPr>
    </w:p>
    <w:p w14:paraId="1D1D3DA0" w14:textId="05D1D7F4" w:rsidR="004D7D12" w:rsidRDefault="004D7D12" w:rsidP="004D7D12">
      <w:pPr>
        <w:jc w:val="left"/>
        <w:rPr>
          <w:rFonts w:ascii="Arial" w:hAnsi="Arial" w:cs="Arial"/>
          <w:b/>
          <w:bCs/>
        </w:rPr>
      </w:pPr>
    </w:p>
    <w:p w14:paraId="5E56614A" w14:textId="352EC398" w:rsidR="004D7D12" w:rsidRDefault="004D7D12" w:rsidP="004D7D12">
      <w:pPr>
        <w:jc w:val="left"/>
        <w:rPr>
          <w:rFonts w:ascii="Arial" w:hAnsi="Arial" w:cs="Arial"/>
          <w:b/>
          <w:bCs/>
        </w:rPr>
      </w:pPr>
      <w:r>
        <w:rPr>
          <w:rFonts w:ascii="Arial" w:hAnsi="Arial" w:cs="Arial"/>
          <w:b/>
          <w:bCs/>
        </w:rPr>
        <w:t>Urgent Notice for LHAs re PRSOs</w:t>
      </w:r>
    </w:p>
    <w:p w14:paraId="6A91621E" w14:textId="4F3B0954" w:rsidR="004D7D12" w:rsidRDefault="004D7D12" w:rsidP="000A012B">
      <w:pPr>
        <w:rPr>
          <w:rFonts w:ascii="Arial" w:hAnsi="Arial" w:cs="Arial"/>
        </w:rPr>
      </w:pPr>
      <w:r w:rsidRPr="004D7D12">
        <w:rPr>
          <w:rFonts w:ascii="Arial" w:hAnsi="Arial" w:cs="Arial"/>
        </w:rPr>
        <w:t>The Court of Appeal</w:t>
      </w:r>
      <w:r w:rsidR="00005A28">
        <w:rPr>
          <w:rFonts w:ascii="Arial" w:hAnsi="Arial" w:cs="Arial"/>
        </w:rPr>
        <w:t xml:space="preserve"> (‘CA’)</w:t>
      </w:r>
      <w:r w:rsidRPr="004D7D12">
        <w:rPr>
          <w:rFonts w:ascii="Arial" w:hAnsi="Arial" w:cs="Arial"/>
        </w:rPr>
        <w:t xml:space="preserve"> </w:t>
      </w:r>
      <w:r w:rsidR="008D60AE">
        <w:rPr>
          <w:rFonts w:ascii="Arial" w:hAnsi="Arial" w:cs="Arial"/>
        </w:rPr>
        <w:t>yesterday</w:t>
      </w:r>
      <w:r w:rsidRPr="004D7D12">
        <w:rPr>
          <w:rFonts w:ascii="Arial" w:hAnsi="Arial" w:cs="Arial"/>
        </w:rPr>
        <w:t xml:space="preserve"> morning handed down judgment in the above case.</w:t>
      </w:r>
      <w:r>
        <w:rPr>
          <w:rFonts w:ascii="Arial" w:hAnsi="Arial" w:cs="Arial"/>
        </w:rPr>
        <w:t xml:space="preserve"> It concerns the technical requirements that </w:t>
      </w:r>
      <w:proofErr w:type="gramStart"/>
      <w:r>
        <w:rPr>
          <w:rFonts w:ascii="Arial" w:hAnsi="Arial" w:cs="Arial"/>
        </w:rPr>
        <w:t>have to</w:t>
      </w:r>
      <w:proofErr w:type="gramEnd"/>
      <w:r>
        <w:rPr>
          <w:rFonts w:ascii="Arial" w:hAnsi="Arial" w:cs="Arial"/>
        </w:rPr>
        <w:t xml:space="preserve"> be satisfied when a Local Housing Authority makes a PRSO to bring its duty under the Housing Act 1996 (“HA 96”), s</w:t>
      </w:r>
      <w:r w:rsidR="000A012B">
        <w:rPr>
          <w:rFonts w:ascii="Arial" w:hAnsi="Arial" w:cs="Arial"/>
        </w:rPr>
        <w:t>.</w:t>
      </w:r>
      <w:r>
        <w:rPr>
          <w:rFonts w:ascii="Arial" w:hAnsi="Arial" w:cs="Arial"/>
        </w:rPr>
        <w:t xml:space="preserve"> 193(2) to an end.</w:t>
      </w:r>
    </w:p>
    <w:p w14:paraId="5B69BC51" w14:textId="026A4E4A" w:rsidR="004D7D12" w:rsidRDefault="004D7D12" w:rsidP="000A012B">
      <w:pPr>
        <w:rPr>
          <w:rFonts w:ascii="Arial" w:hAnsi="Arial" w:cs="Arial"/>
        </w:rPr>
      </w:pPr>
    </w:p>
    <w:p w14:paraId="0DC89550" w14:textId="3BC3780F" w:rsidR="004D7D12" w:rsidRDefault="004D7D12" w:rsidP="000A012B">
      <w:pPr>
        <w:rPr>
          <w:rFonts w:ascii="Arial" w:hAnsi="Arial" w:cs="Arial"/>
          <w:spacing w:val="-3"/>
        </w:rPr>
      </w:pPr>
      <w:r w:rsidRPr="004D7D12">
        <w:rPr>
          <w:rFonts w:ascii="Arial" w:hAnsi="Arial" w:cs="Arial"/>
        </w:rPr>
        <w:t xml:space="preserve">The requirements are set out in </w:t>
      </w:r>
      <w:r>
        <w:rPr>
          <w:rFonts w:ascii="Arial" w:hAnsi="Arial" w:cs="Arial"/>
          <w:spacing w:val="-3"/>
        </w:rPr>
        <w:t>HA 96 ss.</w:t>
      </w:r>
      <w:r w:rsidRPr="004D7D12">
        <w:rPr>
          <w:rFonts w:ascii="Arial" w:hAnsi="Arial" w:cs="Arial"/>
          <w:spacing w:val="-3"/>
        </w:rPr>
        <w:t xml:space="preserve"> 193(7AA), (7AB), (7AC), (7F) and (8)</w:t>
      </w:r>
      <w:r>
        <w:rPr>
          <w:rFonts w:ascii="Arial" w:hAnsi="Arial" w:cs="Arial"/>
          <w:spacing w:val="-3"/>
        </w:rPr>
        <w:t xml:space="preserve"> and in the Homelessness (Suitability of Accommodation) (England) Order 2012</w:t>
      </w:r>
      <w:r w:rsidR="000A012B">
        <w:rPr>
          <w:rFonts w:ascii="Arial" w:hAnsi="Arial" w:cs="Arial"/>
          <w:spacing w:val="-3"/>
        </w:rPr>
        <w:t>,</w:t>
      </w:r>
      <w:r>
        <w:rPr>
          <w:rFonts w:ascii="Arial" w:hAnsi="Arial" w:cs="Arial"/>
          <w:spacing w:val="-3"/>
        </w:rPr>
        <w:t xml:space="preserve"> Article 3.</w:t>
      </w:r>
    </w:p>
    <w:p w14:paraId="550230E6" w14:textId="501AD912" w:rsidR="00624AF0" w:rsidRDefault="00624AF0" w:rsidP="004D7D12">
      <w:pPr>
        <w:rPr>
          <w:rFonts w:ascii="Arial" w:hAnsi="Arial" w:cs="Arial"/>
          <w:spacing w:val="-3"/>
        </w:rPr>
      </w:pPr>
    </w:p>
    <w:p w14:paraId="3106687F" w14:textId="6A49C79B" w:rsidR="00624AF0" w:rsidRDefault="00624AF0" w:rsidP="004D7D12">
      <w:pPr>
        <w:rPr>
          <w:rFonts w:ascii="Arial" w:hAnsi="Arial" w:cs="Arial"/>
          <w:spacing w:val="-3"/>
        </w:rPr>
      </w:pPr>
      <w:r>
        <w:rPr>
          <w:rFonts w:ascii="Arial" w:hAnsi="Arial" w:cs="Arial"/>
          <w:spacing w:val="-3"/>
        </w:rPr>
        <w:t>In the case three technical points were take</w:t>
      </w:r>
      <w:r w:rsidR="00DE54B3">
        <w:rPr>
          <w:rFonts w:ascii="Arial" w:hAnsi="Arial" w:cs="Arial"/>
          <w:spacing w:val="-3"/>
        </w:rPr>
        <w:t>n</w:t>
      </w:r>
      <w:r>
        <w:rPr>
          <w:rFonts w:ascii="Arial" w:hAnsi="Arial" w:cs="Arial"/>
          <w:spacing w:val="-3"/>
        </w:rPr>
        <w:t xml:space="preserve"> in relation to a PRSO LB Haringey </w:t>
      </w:r>
      <w:r w:rsidR="000A012B">
        <w:rPr>
          <w:rFonts w:ascii="Arial" w:hAnsi="Arial" w:cs="Arial"/>
          <w:spacing w:val="-3"/>
        </w:rPr>
        <w:t xml:space="preserve">(‘LBH’) </w:t>
      </w:r>
      <w:r>
        <w:rPr>
          <w:rFonts w:ascii="Arial" w:hAnsi="Arial" w:cs="Arial"/>
          <w:spacing w:val="-3"/>
        </w:rPr>
        <w:t>made to Mr Norton:</w:t>
      </w:r>
    </w:p>
    <w:p w14:paraId="7493410C" w14:textId="710E15D7" w:rsidR="00624AF0" w:rsidRDefault="00624AF0" w:rsidP="00624AF0">
      <w:pPr>
        <w:pStyle w:val="ListParagraph"/>
        <w:numPr>
          <w:ilvl w:val="0"/>
          <w:numId w:val="2"/>
        </w:numPr>
        <w:ind w:left="567" w:hanging="567"/>
        <w:rPr>
          <w:rFonts w:ascii="Arial" w:hAnsi="Arial" w:cs="Arial"/>
          <w:spacing w:val="-3"/>
        </w:rPr>
      </w:pPr>
      <w:r>
        <w:rPr>
          <w:rFonts w:ascii="Arial" w:hAnsi="Arial" w:cs="Arial"/>
          <w:spacing w:val="-3"/>
        </w:rPr>
        <w:t>First, that whilst the offer letter told Mr Norton about the effect of s. 195A(1) of a further application by him within two years of his acceptance of the PRSO, it did not tell him about the effect of the provisions of s. 195A(2) as to the date of his deemed homelessness i</w:t>
      </w:r>
      <w:r w:rsidR="008D60AE">
        <w:rPr>
          <w:rFonts w:ascii="Arial" w:hAnsi="Arial" w:cs="Arial"/>
          <w:spacing w:val="-3"/>
        </w:rPr>
        <w:t xml:space="preserve">f </w:t>
      </w:r>
      <w:r>
        <w:rPr>
          <w:rFonts w:ascii="Arial" w:hAnsi="Arial" w:cs="Arial"/>
          <w:spacing w:val="-3"/>
        </w:rPr>
        <w:t>his landlord served a section 21 Notice to bring his tenancy of the accommodation offered to him by way of a PRSO to an end.</w:t>
      </w:r>
    </w:p>
    <w:p w14:paraId="287654E8" w14:textId="77777777" w:rsidR="00624AF0" w:rsidRDefault="00624AF0" w:rsidP="00624AF0">
      <w:pPr>
        <w:pStyle w:val="ListParagraph"/>
        <w:ind w:left="567"/>
        <w:rPr>
          <w:rFonts w:ascii="Arial" w:hAnsi="Arial" w:cs="Arial"/>
          <w:spacing w:val="-3"/>
        </w:rPr>
      </w:pPr>
    </w:p>
    <w:p w14:paraId="66DC182F" w14:textId="5567DB98" w:rsidR="00624AF0" w:rsidRDefault="00624AF0" w:rsidP="00624AF0">
      <w:pPr>
        <w:pStyle w:val="ListParagraph"/>
        <w:numPr>
          <w:ilvl w:val="0"/>
          <w:numId w:val="2"/>
        </w:numPr>
        <w:ind w:left="567" w:hanging="567"/>
        <w:rPr>
          <w:rFonts w:ascii="Arial" w:hAnsi="Arial" w:cs="Arial"/>
          <w:spacing w:val="-3"/>
        </w:rPr>
      </w:pPr>
      <w:r>
        <w:rPr>
          <w:rFonts w:ascii="Arial" w:hAnsi="Arial" w:cs="Arial"/>
          <w:spacing w:val="-3"/>
        </w:rPr>
        <w:t>Second, that LB Haringey could not have been satisfied, when the PRSO was made</w:t>
      </w:r>
      <w:r w:rsidR="00C04F1F">
        <w:rPr>
          <w:rFonts w:ascii="Arial" w:hAnsi="Arial" w:cs="Arial"/>
          <w:spacing w:val="-3"/>
        </w:rPr>
        <w:t>,</w:t>
      </w:r>
      <w:r>
        <w:rPr>
          <w:rFonts w:ascii="Arial" w:hAnsi="Arial" w:cs="Arial"/>
          <w:spacing w:val="-3"/>
        </w:rPr>
        <w:t xml:space="preserve"> that Mr Norton could end his contractual obligations under his licence of temporary accommodation which he had been granted by a third party to perform the housing duty under s. 193(2);</w:t>
      </w:r>
    </w:p>
    <w:p w14:paraId="1A1CF048" w14:textId="77777777" w:rsidR="00624AF0" w:rsidRPr="00624AF0" w:rsidRDefault="00624AF0" w:rsidP="00624AF0">
      <w:pPr>
        <w:pStyle w:val="ListParagraph"/>
        <w:rPr>
          <w:rFonts w:ascii="Arial" w:hAnsi="Arial" w:cs="Arial"/>
          <w:spacing w:val="-3"/>
        </w:rPr>
      </w:pPr>
    </w:p>
    <w:p w14:paraId="35A871A7" w14:textId="0C604C89" w:rsidR="00624AF0" w:rsidRPr="00624AF0" w:rsidRDefault="00624AF0" w:rsidP="00624AF0">
      <w:pPr>
        <w:pStyle w:val="ListParagraph"/>
        <w:numPr>
          <w:ilvl w:val="0"/>
          <w:numId w:val="2"/>
        </w:numPr>
        <w:ind w:left="567" w:hanging="567"/>
        <w:rPr>
          <w:rFonts w:ascii="Arial" w:hAnsi="Arial" w:cs="Arial"/>
          <w:spacing w:val="-3"/>
        </w:rPr>
      </w:pPr>
      <w:r>
        <w:rPr>
          <w:rFonts w:ascii="Arial" w:hAnsi="Arial" w:cs="Arial"/>
          <w:spacing w:val="-3"/>
        </w:rPr>
        <w:t>Third, that LB Haringey could not evidence that it was satisfied at the date it made the PRSO that the accommodation offered was in a satisfactory condition.</w:t>
      </w:r>
    </w:p>
    <w:p w14:paraId="5F0695F2" w14:textId="6EFFE867" w:rsidR="004D7D12" w:rsidRDefault="004D7D12" w:rsidP="004D7D12">
      <w:pPr>
        <w:rPr>
          <w:rFonts w:ascii="Arial" w:hAnsi="Arial" w:cs="Arial"/>
          <w:spacing w:val="-3"/>
        </w:rPr>
      </w:pPr>
    </w:p>
    <w:p w14:paraId="50E01361" w14:textId="527D67C3" w:rsidR="00624AF0" w:rsidRDefault="00624AF0" w:rsidP="004D7D12">
      <w:pPr>
        <w:rPr>
          <w:rFonts w:ascii="Arial" w:hAnsi="Arial" w:cs="Arial"/>
          <w:spacing w:val="-3"/>
        </w:rPr>
      </w:pPr>
      <w:r>
        <w:rPr>
          <w:rFonts w:ascii="Arial" w:hAnsi="Arial" w:cs="Arial"/>
          <w:spacing w:val="-3"/>
        </w:rPr>
        <w:t>The CA decided all three issue</w:t>
      </w:r>
      <w:r w:rsidR="00C04F1F">
        <w:rPr>
          <w:rFonts w:ascii="Arial" w:hAnsi="Arial" w:cs="Arial"/>
          <w:spacing w:val="-3"/>
        </w:rPr>
        <w:t>s</w:t>
      </w:r>
      <w:r>
        <w:rPr>
          <w:rFonts w:ascii="Arial" w:hAnsi="Arial" w:cs="Arial"/>
          <w:spacing w:val="-3"/>
        </w:rPr>
        <w:t xml:space="preserve"> in Mr Norton’s favour.</w:t>
      </w:r>
    </w:p>
    <w:p w14:paraId="73A677C9" w14:textId="544E5BCB" w:rsidR="00624AF0" w:rsidRDefault="00624AF0" w:rsidP="004D7D12">
      <w:pPr>
        <w:rPr>
          <w:rFonts w:ascii="Arial" w:hAnsi="Arial" w:cs="Arial"/>
          <w:spacing w:val="-3"/>
        </w:rPr>
      </w:pPr>
    </w:p>
    <w:p w14:paraId="5D246BA9" w14:textId="61D4D921" w:rsidR="00624AF0" w:rsidRDefault="00624AF0" w:rsidP="004D7D12">
      <w:pPr>
        <w:rPr>
          <w:rFonts w:ascii="Arial" w:hAnsi="Arial" w:cs="Arial"/>
          <w:spacing w:val="-3"/>
        </w:rPr>
      </w:pPr>
      <w:r>
        <w:rPr>
          <w:rFonts w:ascii="Arial" w:hAnsi="Arial" w:cs="Arial"/>
          <w:spacing w:val="-3"/>
        </w:rPr>
        <w:t>The decision further illustrates the CA</w:t>
      </w:r>
      <w:r w:rsidR="000A012B">
        <w:rPr>
          <w:rFonts w:ascii="Arial" w:hAnsi="Arial" w:cs="Arial"/>
          <w:spacing w:val="-3"/>
        </w:rPr>
        <w:t>’s reluctance to</w:t>
      </w:r>
      <w:r>
        <w:rPr>
          <w:rFonts w:ascii="Arial" w:hAnsi="Arial" w:cs="Arial"/>
          <w:spacing w:val="-3"/>
        </w:rPr>
        <w:t xml:space="preserve"> apply the doctrine of</w:t>
      </w:r>
      <w:r w:rsidR="002B3D36">
        <w:rPr>
          <w:rFonts w:ascii="Arial" w:hAnsi="Arial" w:cs="Arial"/>
          <w:spacing w:val="-3"/>
        </w:rPr>
        <w:t xml:space="preserve"> the presumption </w:t>
      </w:r>
      <w:r>
        <w:rPr>
          <w:rFonts w:ascii="Arial" w:hAnsi="Arial" w:cs="Arial"/>
          <w:spacing w:val="-3"/>
        </w:rPr>
        <w:t xml:space="preserve"> </w:t>
      </w:r>
      <w:r w:rsidR="002B3D36">
        <w:rPr>
          <w:rFonts w:ascii="Arial" w:hAnsi="Arial" w:cs="Arial"/>
          <w:spacing w:val="-3"/>
        </w:rPr>
        <w:t xml:space="preserve">of </w:t>
      </w:r>
      <w:r>
        <w:rPr>
          <w:rFonts w:ascii="Arial" w:hAnsi="Arial" w:cs="Arial"/>
          <w:spacing w:val="-3"/>
        </w:rPr>
        <w:t xml:space="preserve">regularity in relation to homeless cases and that LHAs are going to have to be able </w:t>
      </w:r>
      <w:r w:rsidR="002B3D36">
        <w:rPr>
          <w:rFonts w:ascii="Arial" w:hAnsi="Arial" w:cs="Arial"/>
          <w:spacing w:val="-3"/>
        </w:rPr>
        <w:t xml:space="preserve">to </w:t>
      </w:r>
      <w:r>
        <w:rPr>
          <w:rFonts w:ascii="Arial" w:hAnsi="Arial" w:cs="Arial"/>
          <w:spacing w:val="-3"/>
        </w:rPr>
        <w:t>evidence the reasons for their decisions.</w:t>
      </w:r>
    </w:p>
    <w:p w14:paraId="6AFACF46" w14:textId="77777777" w:rsidR="00624AF0" w:rsidRDefault="00624AF0" w:rsidP="004D7D12">
      <w:pPr>
        <w:rPr>
          <w:rFonts w:ascii="Arial" w:hAnsi="Arial" w:cs="Arial"/>
          <w:spacing w:val="-3"/>
        </w:rPr>
      </w:pPr>
    </w:p>
    <w:p w14:paraId="6B52AE93" w14:textId="1D5E4CB1" w:rsidR="004D7D12" w:rsidRDefault="004D7D12" w:rsidP="004D7D12">
      <w:pPr>
        <w:rPr>
          <w:rFonts w:ascii="Arial" w:hAnsi="Arial" w:cs="Arial"/>
          <w:spacing w:val="-3"/>
        </w:rPr>
      </w:pPr>
      <w:r>
        <w:rPr>
          <w:rFonts w:ascii="Arial" w:hAnsi="Arial" w:cs="Arial"/>
          <w:spacing w:val="-3"/>
        </w:rPr>
        <w:t>The</w:t>
      </w:r>
      <w:r w:rsidR="00624AF0">
        <w:rPr>
          <w:rFonts w:ascii="Arial" w:hAnsi="Arial" w:cs="Arial"/>
          <w:spacing w:val="-3"/>
        </w:rPr>
        <w:t xml:space="preserve"> </w:t>
      </w:r>
      <w:r>
        <w:rPr>
          <w:rFonts w:ascii="Arial" w:hAnsi="Arial" w:cs="Arial"/>
          <w:spacing w:val="-3"/>
        </w:rPr>
        <w:t>sections of HA 96</w:t>
      </w:r>
      <w:r w:rsidR="00624AF0">
        <w:rPr>
          <w:rFonts w:ascii="Arial" w:hAnsi="Arial" w:cs="Arial"/>
          <w:spacing w:val="-3"/>
        </w:rPr>
        <w:t>, s. 193</w:t>
      </w:r>
      <w:r w:rsidR="003C6623">
        <w:rPr>
          <w:rFonts w:ascii="Arial" w:hAnsi="Arial" w:cs="Arial"/>
          <w:spacing w:val="-3"/>
        </w:rPr>
        <w:t xml:space="preserve"> and 195A</w:t>
      </w:r>
      <w:r w:rsidR="00624AF0">
        <w:rPr>
          <w:rFonts w:ascii="Arial" w:hAnsi="Arial" w:cs="Arial"/>
          <w:spacing w:val="-3"/>
        </w:rPr>
        <w:t xml:space="preserve"> that provide for PRSOs</w:t>
      </w:r>
      <w:r>
        <w:rPr>
          <w:rFonts w:ascii="Arial" w:hAnsi="Arial" w:cs="Arial"/>
          <w:spacing w:val="-3"/>
        </w:rPr>
        <w:t xml:space="preserve"> </w:t>
      </w:r>
      <w:r w:rsidR="00624AF0">
        <w:rPr>
          <w:rFonts w:ascii="Arial" w:hAnsi="Arial" w:cs="Arial"/>
          <w:spacing w:val="-3"/>
        </w:rPr>
        <w:t>are</w:t>
      </w:r>
      <w:r>
        <w:rPr>
          <w:rFonts w:ascii="Arial" w:hAnsi="Arial" w:cs="Arial"/>
          <w:spacing w:val="-3"/>
        </w:rPr>
        <w:t xml:space="preserve"> as follows:</w:t>
      </w:r>
    </w:p>
    <w:p w14:paraId="72160404" w14:textId="57ED1B40" w:rsidR="004D7D12" w:rsidRDefault="004D7D12" w:rsidP="004D7D12">
      <w:pPr>
        <w:rPr>
          <w:rFonts w:ascii="Arial" w:hAnsi="Arial" w:cs="Arial"/>
          <w:spacing w:val="-3"/>
        </w:rPr>
      </w:pPr>
    </w:p>
    <w:p w14:paraId="3E3B5020" w14:textId="02EFAFB5" w:rsidR="008D60AE" w:rsidRPr="002B3D36" w:rsidRDefault="008D60AE" w:rsidP="004D7D12">
      <w:pPr>
        <w:rPr>
          <w:rFonts w:ascii="Arial" w:hAnsi="Arial" w:cs="Arial"/>
          <w:b/>
          <w:bCs/>
          <w:i/>
          <w:iCs/>
          <w:spacing w:val="-3"/>
        </w:rPr>
      </w:pPr>
      <w:r w:rsidRPr="002B3D36">
        <w:rPr>
          <w:rFonts w:ascii="Arial" w:hAnsi="Arial" w:cs="Arial"/>
          <w:b/>
          <w:bCs/>
          <w:i/>
          <w:iCs/>
          <w:spacing w:val="-3"/>
        </w:rPr>
        <w:t>s.193</w:t>
      </w:r>
    </w:p>
    <w:p w14:paraId="6314CD0A" w14:textId="6A3A4ACF" w:rsidR="004D7D12" w:rsidRPr="004D7D12" w:rsidRDefault="004D7D12" w:rsidP="004D7D12">
      <w:pPr>
        <w:ind w:left="567"/>
        <w:rPr>
          <w:rFonts w:ascii="Arial" w:hAnsi="Arial" w:cs="Arial"/>
          <w:i/>
          <w:iCs/>
          <w:spacing w:val="-3"/>
        </w:rPr>
      </w:pPr>
      <w:r w:rsidRPr="004D7D12">
        <w:rPr>
          <w:rFonts w:ascii="Arial" w:hAnsi="Arial" w:cs="Arial"/>
          <w:i/>
          <w:iCs/>
          <w:spacing w:val="-3"/>
        </w:rPr>
        <w:t xml:space="preserve">(7AA) The authority shall also cease to be subject to the duty under this section if the applicant, having been informed in writing of the matters mentioned in subsection (7AB) </w:t>
      </w:r>
      <w:r>
        <w:rPr>
          <w:rFonts w:ascii="Arial" w:hAnsi="Arial" w:cs="Arial"/>
          <w:i/>
          <w:iCs/>
          <w:spacing w:val="-3"/>
        </w:rPr>
        <w:t>–</w:t>
      </w:r>
    </w:p>
    <w:p w14:paraId="300AF491" w14:textId="77777777" w:rsidR="004D7D12" w:rsidRPr="004D7D12" w:rsidRDefault="004D7D12" w:rsidP="004D7D12">
      <w:pPr>
        <w:ind w:left="567"/>
        <w:rPr>
          <w:rFonts w:ascii="Arial" w:hAnsi="Arial" w:cs="Arial"/>
          <w:i/>
          <w:iCs/>
          <w:spacing w:val="-3"/>
        </w:rPr>
      </w:pPr>
      <w:r w:rsidRPr="004D7D12">
        <w:rPr>
          <w:rFonts w:ascii="Arial" w:hAnsi="Arial" w:cs="Arial"/>
          <w:i/>
          <w:iCs/>
          <w:spacing w:val="-3"/>
        </w:rPr>
        <w:t>(a)</w:t>
      </w:r>
      <w:r w:rsidRPr="004D7D12">
        <w:rPr>
          <w:rFonts w:ascii="Arial" w:hAnsi="Arial" w:cs="Arial"/>
          <w:i/>
          <w:iCs/>
          <w:spacing w:val="-3"/>
        </w:rPr>
        <w:tab/>
        <w:t>accepts a private rented sector offer, or</w:t>
      </w:r>
    </w:p>
    <w:p w14:paraId="2F5522C9" w14:textId="77777777" w:rsidR="004D7D12" w:rsidRPr="004D7D12" w:rsidRDefault="004D7D12" w:rsidP="004D7D12">
      <w:pPr>
        <w:ind w:left="567"/>
        <w:rPr>
          <w:rFonts w:ascii="Arial" w:hAnsi="Arial" w:cs="Arial"/>
          <w:i/>
          <w:iCs/>
          <w:spacing w:val="-3"/>
        </w:rPr>
      </w:pPr>
      <w:r w:rsidRPr="004D7D12">
        <w:rPr>
          <w:rFonts w:ascii="Arial" w:hAnsi="Arial" w:cs="Arial"/>
          <w:i/>
          <w:iCs/>
          <w:spacing w:val="-3"/>
        </w:rPr>
        <w:t>(b)</w:t>
      </w:r>
      <w:r w:rsidRPr="004D7D12">
        <w:rPr>
          <w:rFonts w:ascii="Arial" w:hAnsi="Arial" w:cs="Arial"/>
          <w:i/>
          <w:iCs/>
          <w:spacing w:val="-3"/>
        </w:rPr>
        <w:tab/>
        <w:t>refuses such an offer.</w:t>
      </w:r>
    </w:p>
    <w:p w14:paraId="70245720" w14:textId="77777777" w:rsidR="004D7D12" w:rsidRPr="004D7D12" w:rsidRDefault="004D7D12" w:rsidP="004D7D12">
      <w:pPr>
        <w:ind w:left="567"/>
        <w:rPr>
          <w:rFonts w:ascii="Arial" w:hAnsi="Arial" w:cs="Arial"/>
          <w:i/>
          <w:iCs/>
          <w:spacing w:val="-3"/>
        </w:rPr>
      </w:pPr>
    </w:p>
    <w:p w14:paraId="3D2F6C39" w14:textId="23FA08BF" w:rsidR="004D7D12" w:rsidRPr="004D7D12" w:rsidRDefault="004D7D12" w:rsidP="004D7D12">
      <w:pPr>
        <w:ind w:left="567"/>
        <w:rPr>
          <w:rFonts w:ascii="Arial" w:hAnsi="Arial" w:cs="Arial"/>
          <w:i/>
          <w:iCs/>
          <w:spacing w:val="-3"/>
        </w:rPr>
      </w:pPr>
      <w:r w:rsidRPr="004D7D12">
        <w:rPr>
          <w:rFonts w:ascii="Arial" w:hAnsi="Arial" w:cs="Arial"/>
          <w:i/>
          <w:iCs/>
          <w:spacing w:val="-3"/>
        </w:rPr>
        <w:t xml:space="preserve">(7AB) The matters are </w:t>
      </w:r>
      <w:r>
        <w:rPr>
          <w:rFonts w:ascii="Arial" w:hAnsi="Arial" w:cs="Arial"/>
          <w:i/>
          <w:iCs/>
          <w:spacing w:val="-3"/>
        </w:rPr>
        <w:t>–</w:t>
      </w:r>
    </w:p>
    <w:p w14:paraId="5F579B73" w14:textId="77777777" w:rsidR="004D7D12" w:rsidRPr="004D7D12" w:rsidRDefault="004D7D12" w:rsidP="004D7D12">
      <w:pPr>
        <w:ind w:left="1134" w:hanging="567"/>
        <w:rPr>
          <w:rFonts w:ascii="Arial" w:hAnsi="Arial" w:cs="Arial"/>
          <w:i/>
          <w:iCs/>
          <w:spacing w:val="-3"/>
        </w:rPr>
      </w:pPr>
      <w:r w:rsidRPr="004D7D12">
        <w:rPr>
          <w:rFonts w:ascii="Arial" w:hAnsi="Arial" w:cs="Arial"/>
          <w:i/>
          <w:iCs/>
          <w:spacing w:val="-3"/>
        </w:rPr>
        <w:t>(a)</w:t>
      </w:r>
      <w:r w:rsidRPr="004D7D12">
        <w:rPr>
          <w:rFonts w:ascii="Arial" w:hAnsi="Arial" w:cs="Arial"/>
          <w:i/>
          <w:iCs/>
          <w:spacing w:val="-3"/>
        </w:rPr>
        <w:tab/>
        <w:t>the possible consequence of refusal or acceptance of the offer, and</w:t>
      </w:r>
    </w:p>
    <w:p w14:paraId="3EF37553" w14:textId="77777777" w:rsidR="004D7D12" w:rsidRPr="004D7D12" w:rsidRDefault="004D7D12" w:rsidP="004D7D12">
      <w:pPr>
        <w:ind w:left="1134" w:hanging="567"/>
        <w:rPr>
          <w:rFonts w:ascii="Arial" w:hAnsi="Arial" w:cs="Arial"/>
          <w:i/>
          <w:iCs/>
          <w:spacing w:val="-3"/>
        </w:rPr>
      </w:pPr>
      <w:r w:rsidRPr="004D7D12">
        <w:rPr>
          <w:rFonts w:ascii="Arial" w:hAnsi="Arial" w:cs="Arial"/>
          <w:i/>
          <w:iCs/>
          <w:spacing w:val="-3"/>
        </w:rPr>
        <w:t>(b)</w:t>
      </w:r>
      <w:r w:rsidRPr="004D7D12">
        <w:rPr>
          <w:rFonts w:ascii="Arial" w:hAnsi="Arial" w:cs="Arial"/>
          <w:i/>
          <w:iCs/>
          <w:spacing w:val="-3"/>
        </w:rPr>
        <w:tab/>
        <w:t>that the applicant has the right to request a review of the suitability of the accommodation, and</w:t>
      </w:r>
    </w:p>
    <w:p w14:paraId="1CE8D63C" w14:textId="0A5F9FC5" w:rsidR="004D7D12" w:rsidRPr="003C6623" w:rsidRDefault="004D7D12" w:rsidP="004D7D12">
      <w:pPr>
        <w:ind w:left="1134" w:hanging="567"/>
        <w:rPr>
          <w:rFonts w:ascii="Arial" w:hAnsi="Arial" w:cs="Arial"/>
          <w:i/>
          <w:iCs/>
          <w:spacing w:val="-3"/>
        </w:rPr>
      </w:pPr>
      <w:r>
        <w:rPr>
          <w:rFonts w:ascii="Arial" w:hAnsi="Arial" w:cs="Arial"/>
          <w:i/>
          <w:iCs/>
          <w:spacing w:val="-3"/>
        </w:rPr>
        <w:t>(c)</w:t>
      </w:r>
      <w:r w:rsidRPr="004D7D12">
        <w:rPr>
          <w:rFonts w:ascii="Arial" w:hAnsi="Arial" w:cs="Arial"/>
          <w:i/>
          <w:iCs/>
          <w:spacing w:val="-3"/>
        </w:rPr>
        <w:tab/>
      </w:r>
      <w:r w:rsidRPr="003C6623">
        <w:rPr>
          <w:rFonts w:ascii="Arial" w:hAnsi="Arial" w:cs="Arial"/>
          <w:i/>
          <w:iCs/>
          <w:spacing w:val="-3"/>
        </w:rPr>
        <w:t xml:space="preserve">in a case which is not a restricted case, </w:t>
      </w:r>
      <w:bookmarkStart w:id="0" w:name="_Hlk106049192"/>
      <w:r w:rsidRPr="003C6623">
        <w:rPr>
          <w:rFonts w:ascii="Arial" w:hAnsi="Arial" w:cs="Arial"/>
          <w:i/>
          <w:iCs/>
          <w:spacing w:val="-3"/>
        </w:rPr>
        <w:t>the effect under section 195A of a further application to a local housing authority within two years of acceptance of the offer.</w:t>
      </w:r>
    </w:p>
    <w:bookmarkEnd w:id="0"/>
    <w:p w14:paraId="2B6F708C" w14:textId="77777777" w:rsidR="004D7D12" w:rsidRPr="004D7D12" w:rsidRDefault="004D7D12" w:rsidP="004D7D12">
      <w:pPr>
        <w:ind w:left="567" w:hanging="567"/>
        <w:rPr>
          <w:rFonts w:ascii="Arial" w:hAnsi="Arial" w:cs="Arial"/>
          <w:i/>
          <w:iCs/>
          <w:spacing w:val="-3"/>
        </w:rPr>
      </w:pPr>
    </w:p>
    <w:p w14:paraId="6D3D7FE7" w14:textId="368F4064" w:rsidR="004D7D12" w:rsidRPr="004D7D12" w:rsidRDefault="004D7D12" w:rsidP="004D7D12">
      <w:pPr>
        <w:ind w:left="567"/>
        <w:rPr>
          <w:rFonts w:ascii="Arial" w:hAnsi="Arial" w:cs="Arial"/>
          <w:i/>
          <w:iCs/>
          <w:spacing w:val="-3"/>
        </w:rPr>
      </w:pPr>
      <w:r w:rsidRPr="004D7D12">
        <w:rPr>
          <w:rFonts w:ascii="Arial" w:hAnsi="Arial" w:cs="Arial"/>
          <w:i/>
          <w:iCs/>
          <w:spacing w:val="-3"/>
        </w:rPr>
        <w:t xml:space="preserve">(7AC) For the purposes of this section an offer is a private rented sector offer if </w:t>
      </w:r>
      <w:r>
        <w:rPr>
          <w:rFonts w:ascii="Arial" w:hAnsi="Arial" w:cs="Arial"/>
          <w:i/>
          <w:iCs/>
          <w:spacing w:val="-3"/>
        </w:rPr>
        <w:t>–</w:t>
      </w:r>
    </w:p>
    <w:p w14:paraId="6B60A0F9" w14:textId="6CA4F8B3" w:rsidR="004D7D12" w:rsidRPr="004D7D12" w:rsidRDefault="004D7D12" w:rsidP="004D7D12">
      <w:pPr>
        <w:ind w:left="1134" w:hanging="567"/>
        <w:rPr>
          <w:rFonts w:ascii="Arial" w:hAnsi="Arial" w:cs="Arial"/>
          <w:i/>
          <w:iCs/>
          <w:spacing w:val="-3"/>
        </w:rPr>
      </w:pPr>
      <w:r w:rsidRPr="004D7D12">
        <w:rPr>
          <w:rFonts w:ascii="Arial" w:hAnsi="Arial" w:cs="Arial"/>
          <w:i/>
          <w:iCs/>
          <w:spacing w:val="-3"/>
        </w:rPr>
        <w:t>(a)</w:t>
      </w:r>
      <w:r w:rsidRPr="004D7D12">
        <w:rPr>
          <w:rFonts w:ascii="Arial" w:hAnsi="Arial" w:cs="Arial"/>
          <w:i/>
          <w:iCs/>
          <w:spacing w:val="-3"/>
        </w:rPr>
        <w:tab/>
        <w:t>it is an offer of an assured shorthold tenancy made by a private landlord to the applicant in relation to any accommodation which is, or may become, available for the applicant</w:t>
      </w:r>
      <w:r>
        <w:rPr>
          <w:rFonts w:ascii="Arial" w:hAnsi="Arial" w:cs="Arial"/>
          <w:i/>
          <w:iCs/>
          <w:spacing w:val="-3"/>
        </w:rPr>
        <w:t>’</w:t>
      </w:r>
      <w:r w:rsidRPr="004D7D12">
        <w:rPr>
          <w:rFonts w:ascii="Arial" w:hAnsi="Arial" w:cs="Arial"/>
          <w:i/>
          <w:iCs/>
          <w:spacing w:val="-3"/>
        </w:rPr>
        <w:t>s occupation,</w:t>
      </w:r>
    </w:p>
    <w:p w14:paraId="750C6B90" w14:textId="7F398DBC" w:rsidR="004D7D12" w:rsidRPr="004D7D12" w:rsidRDefault="004D7D12" w:rsidP="004D7D12">
      <w:pPr>
        <w:ind w:left="1134" w:hanging="567"/>
        <w:rPr>
          <w:rFonts w:ascii="Arial" w:hAnsi="Arial" w:cs="Arial"/>
          <w:i/>
          <w:iCs/>
          <w:spacing w:val="-3"/>
        </w:rPr>
      </w:pPr>
      <w:r w:rsidRPr="004D7D12">
        <w:rPr>
          <w:rFonts w:ascii="Arial" w:hAnsi="Arial" w:cs="Arial"/>
          <w:i/>
          <w:iCs/>
          <w:spacing w:val="-3"/>
        </w:rPr>
        <w:t>(b)</w:t>
      </w:r>
      <w:r w:rsidRPr="004D7D12">
        <w:rPr>
          <w:rFonts w:ascii="Arial" w:hAnsi="Arial" w:cs="Arial"/>
          <w:i/>
          <w:iCs/>
          <w:spacing w:val="-3"/>
        </w:rPr>
        <w:tab/>
        <w:t>it is made, with the approval of the authority, in pursuance of arrangements made by the authority with the landlord with a view to bringing the authority</w:t>
      </w:r>
      <w:r>
        <w:rPr>
          <w:rFonts w:ascii="Arial" w:hAnsi="Arial" w:cs="Arial"/>
          <w:i/>
          <w:iCs/>
          <w:spacing w:val="-3"/>
        </w:rPr>
        <w:t>’</w:t>
      </w:r>
      <w:r w:rsidRPr="004D7D12">
        <w:rPr>
          <w:rFonts w:ascii="Arial" w:hAnsi="Arial" w:cs="Arial"/>
          <w:i/>
          <w:iCs/>
          <w:spacing w:val="-3"/>
        </w:rPr>
        <w:t>s duty under this section to an end, and</w:t>
      </w:r>
    </w:p>
    <w:p w14:paraId="78875DEF" w14:textId="22D78F63" w:rsidR="004D7D12" w:rsidRPr="004D7D12" w:rsidRDefault="004D7D12" w:rsidP="004D7D12">
      <w:pPr>
        <w:ind w:left="1134" w:hanging="567"/>
        <w:rPr>
          <w:rFonts w:ascii="Arial" w:hAnsi="Arial" w:cs="Arial"/>
          <w:i/>
          <w:iCs/>
          <w:spacing w:val="-3"/>
        </w:rPr>
      </w:pPr>
      <w:r>
        <w:rPr>
          <w:rFonts w:ascii="Arial" w:hAnsi="Arial" w:cs="Arial"/>
          <w:i/>
          <w:iCs/>
          <w:spacing w:val="-3"/>
        </w:rPr>
        <w:lastRenderedPageBreak/>
        <w:t>(c)</w:t>
      </w:r>
      <w:r w:rsidRPr="004D7D12">
        <w:rPr>
          <w:rFonts w:ascii="Arial" w:hAnsi="Arial" w:cs="Arial"/>
          <w:i/>
          <w:iCs/>
          <w:spacing w:val="-3"/>
        </w:rPr>
        <w:tab/>
        <w:t>the tenancy being offered is a fixed term tenancy (within the meaning of Part 1 of the Housing Act 1988) for a period of at least 12 months.</w:t>
      </w:r>
    </w:p>
    <w:p w14:paraId="7C2B85F1" w14:textId="77777777" w:rsidR="004D7D12" w:rsidRPr="004D7D12" w:rsidRDefault="004D7D12" w:rsidP="004D7D12">
      <w:pPr>
        <w:ind w:left="567" w:hanging="567"/>
        <w:rPr>
          <w:rFonts w:ascii="Arial" w:hAnsi="Arial" w:cs="Arial"/>
          <w:i/>
          <w:iCs/>
          <w:spacing w:val="-3"/>
        </w:rPr>
      </w:pPr>
    </w:p>
    <w:p w14:paraId="2CBE72F3" w14:textId="5B5ED4A2" w:rsidR="004D7D12" w:rsidRPr="004D7D12" w:rsidRDefault="004D7D12" w:rsidP="004D7D12">
      <w:pPr>
        <w:ind w:left="567"/>
        <w:rPr>
          <w:rFonts w:ascii="Arial" w:hAnsi="Arial" w:cs="Arial"/>
          <w:i/>
          <w:iCs/>
          <w:spacing w:val="-3"/>
        </w:rPr>
      </w:pPr>
      <w:r w:rsidRPr="004D7D12">
        <w:rPr>
          <w:rFonts w:ascii="Arial" w:hAnsi="Arial" w:cs="Arial"/>
          <w:i/>
          <w:iCs/>
          <w:spacing w:val="-3"/>
        </w:rPr>
        <w:t xml:space="preserve">(7F) The local housing authority shall not </w:t>
      </w:r>
      <w:r>
        <w:rPr>
          <w:rFonts w:ascii="Arial" w:hAnsi="Arial" w:cs="Arial"/>
          <w:i/>
          <w:iCs/>
          <w:spacing w:val="-3"/>
        </w:rPr>
        <w:t>–</w:t>
      </w:r>
    </w:p>
    <w:p w14:paraId="214CAC9F" w14:textId="60102477" w:rsidR="004D7D12" w:rsidRPr="004D7D12" w:rsidRDefault="004D7D12" w:rsidP="004D7D12">
      <w:pPr>
        <w:pStyle w:val="ListParagraph"/>
        <w:numPr>
          <w:ilvl w:val="0"/>
          <w:numId w:val="1"/>
        </w:numPr>
        <w:rPr>
          <w:rFonts w:ascii="Arial" w:hAnsi="Arial" w:cs="Arial"/>
          <w:i/>
          <w:iCs/>
          <w:spacing w:val="-3"/>
        </w:rPr>
      </w:pPr>
      <w:r w:rsidRPr="004D7D12">
        <w:rPr>
          <w:rFonts w:ascii="Arial" w:hAnsi="Arial" w:cs="Arial"/>
          <w:i/>
          <w:iCs/>
          <w:spacing w:val="-3"/>
        </w:rPr>
        <w:t>make a final offer of accommodation under Part 6 for the purposes of subsection (7);</w:t>
      </w:r>
    </w:p>
    <w:p w14:paraId="15870929" w14:textId="77777777" w:rsidR="004D7D12" w:rsidRPr="004D7D12" w:rsidRDefault="004D7D12" w:rsidP="004D7D12">
      <w:pPr>
        <w:ind w:left="567"/>
        <w:rPr>
          <w:rFonts w:ascii="Arial" w:hAnsi="Arial" w:cs="Arial"/>
          <w:i/>
          <w:iCs/>
          <w:spacing w:val="-3"/>
        </w:rPr>
      </w:pPr>
      <w:r w:rsidRPr="004D7D12">
        <w:rPr>
          <w:rFonts w:ascii="Arial" w:hAnsi="Arial" w:cs="Arial"/>
          <w:i/>
          <w:iCs/>
          <w:spacing w:val="-3"/>
        </w:rPr>
        <w:t>(ab)</w:t>
      </w:r>
      <w:r w:rsidRPr="004D7D12">
        <w:rPr>
          <w:rFonts w:ascii="Arial" w:hAnsi="Arial" w:cs="Arial"/>
          <w:i/>
          <w:iCs/>
          <w:spacing w:val="-3"/>
        </w:rPr>
        <w:tab/>
        <w:t>approve a private rented sector offer,</w:t>
      </w:r>
    </w:p>
    <w:p w14:paraId="7877229D" w14:textId="77777777" w:rsidR="004D7D12" w:rsidRPr="004D7D12" w:rsidRDefault="004D7D12" w:rsidP="004D7D12">
      <w:pPr>
        <w:ind w:left="567"/>
        <w:rPr>
          <w:rFonts w:ascii="Arial" w:hAnsi="Arial" w:cs="Arial"/>
          <w:i/>
          <w:iCs/>
          <w:spacing w:val="-3"/>
        </w:rPr>
      </w:pPr>
      <w:r w:rsidRPr="004D7D12">
        <w:rPr>
          <w:rFonts w:ascii="Arial" w:hAnsi="Arial" w:cs="Arial"/>
          <w:i/>
          <w:iCs/>
          <w:spacing w:val="-3"/>
        </w:rPr>
        <w:t>unless they are satisfied that the accommodation is suitable for the applicant and that subsection (8) does not apply to the applicant.</w:t>
      </w:r>
    </w:p>
    <w:p w14:paraId="0D77CE22" w14:textId="77777777" w:rsidR="004D7D12" w:rsidRPr="004D7D12" w:rsidRDefault="004D7D12" w:rsidP="004D7D12">
      <w:pPr>
        <w:ind w:left="567"/>
        <w:rPr>
          <w:rFonts w:ascii="Arial" w:hAnsi="Arial" w:cs="Arial"/>
          <w:i/>
          <w:iCs/>
          <w:spacing w:val="-3"/>
        </w:rPr>
      </w:pPr>
    </w:p>
    <w:p w14:paraId="482BB3CF" w14:textId="1B1AFFBF" w:rsidR="004D7D12" w:rsidRPr="004D7D12" w:rsidRDefault="004D7D12" w:rsidP="004D7D12">
      <w:pPr>
        <w:ind w:left="567"/>
        <w:rPr>
          <w:rFonts w:ascii="Arial" w:hAnsi="Arial" w:cs="Arial"/>
          <w:i/>
          <w:iCs/>
          <w:spacing w:val="-3"/>
        </w:rPr>
      </w:pPr>
      <w:bookmarkStart w:id="1" w:name="_Hlk106107962"/>
      <w:r w:rsidRPr="004D7D12">
        <w:rPr>
          <w:rFonts w:ascii="Arial" w:hAnsi="Arial" w:cs="Arial"/>
          <w:i/>
          <w:iCs/>
          <w:spacing w:val="-3"/>
        </w:rPr>
        <w:t xml:space="preserve">(8) This subsection applies to an applicant if </w:t>
      </w:r>
      <w:r>
        <w:rPr>
          <w:rFonts w:ascii="Arial" w:hAnsi="Arial" w:cs="Arial"/>
          <w:i/>
          <w:iCs/>
          <w:spacing w:val="-3"/>
        </w:rPr>
        <w:t>–</w:t>
      </w:r>
    </w:p>
    <w:p w14:paraId="4F9DF4A6" w14:textId="13BDA65B" w:rsidR="004D7D12" w:rsidRPr="004D7D12" w:rsidRDefault="004D7D12" w:rsidP="004D7D12">
      <w:pPr>
        <w:ind w:left="1134" w:hanging="567"/>
        <w:rPr>
          <w:rFonts w:ascii="Arial" w:hAnsi="Arial" w:cs="Arial"/>
          <w:i/>
          <w:iCs/>
          <w:spacing w:val="-3"/>
        </w:rPr>
      </w:pPr>
      <w:r w:rsidRPr="004D7D12">
        <w:rPr>
          <w:rFonts w:ascii="Arial" w:hAnsi="Arial" w:cs="Arial"/>
          <w:i/>
          <w:iCs/>
          <w:spacing w:val="-3"/>
        </w:rPr>
        <w:t>(a)</w:t>
      </w:r>
      <w:r w:rsidRPr="004D7D12">
        <w:rPr>
          <w:rFonts w:ascii="Arial" w:hAnsi="Arial" w:cs="Arial"/>
          <w:i/>
          <w:iCs/>
          <w:spacing w:val="-3"/>
        </w:rPr>
        <w:tab/>
        <w:t>the applicant is under contractual or other obligations in respect of the applicant</w:t>
      </w:r>
      <w:r>
        <w:rPr>
          <w:rFonts w:ascii="Arial" w:hAnsi="Arial" w:cs="Arial"/>
          <w:i/>
          <w:iCs/>
          <w:spacing w:val="-3"/>
        </w:rPr>
        <w:t>’</w:t>
      </w:r>
      <w:r w:rsidRPr="004D7D12">
        <w:rPr>
          <w:rFonts w:ascii="Arial" w:hAnsi="Arial" w:cs="Arial"/>
          <w:i/>
          <w:iCs/>
          <w:spacing w:val="-3"/>
        </w:rPr>
        <w:t>s existing accommodation, and</w:t>
      </w:r>
    </w:p>
    <w:p w14:paraId="79BF6615" w14:textId="77777777" w:rsidR="004D7D12" w:rsidRPr="004D7D12" w:rsidRDefault="004D7D12" w:rsidP="004D7D12">
      <w:pPr>
        <w:ind w:left="1134" w:hanging="567"/>
        <w:rPr>
          <w:rFonts w:ascii="Arial" w:hAnsi="Arial" w:cs="Arial"/>
          <w:i/>
          <w:iCs/>
          <w:spacing w:val="-3"/>
        </w:rPr>
      </w:pPr>
      <w:r w:rsidRPr="004D7D12">
        <w:rPr>
          <w:rFonts w:ascii="Arial" w:hAnsi="Arial" w:cs="Arial"/>
          <w:i/>
          <w:iCs/>
          <w:spacing w:val="-3"/>
        </w:rPr>
        <w:t>(b)</w:t>
      </w:r>
      <w:r w:rsidRPr="004D7D12">
        <w:rPr>
          <w:rFonts w:ascii="Arial" w:hAnsi="Arial" w:cs="Arial"/>
          <w:i/>
          <w:iCs/>
          <w:spacing w:val="-3"/>
        </w:rPr>
        <w:tab/>
        <w:t>the applicant is not able to bring those obligations to an end before being required to take up the offer.</w:t>
      </w:r>
    </w:p>
    <w:bookmarkEnd w:id="1"/>
    <w:p w14:paraId="434A1EB6" w14:textId="338E1CFD" w:rsidR="004D7D12" w:rsidRDefault="004D7D12" w:rsidP="004D7D12">
      <w:pPr>
        <w:jc w:val="left"/>
        <w:rPr>
          <w:rFonts w:ascii="Arial" w:hAnsi="Arial" w:cs="Arial"/>
        </w:rPr>
      </w:pPr>
    </w:p>
    <w:p w14:paraId="66DB86E1" w14:textId="5619E951" w:rsidR="004D7D12" w:rsidRDefault="003C6623" w:rsidP="004D7D12">
      <w:pPr>
        <w:jc w:val="left"/>
        <w:rPr>
          <w:rFonts w:ascii="Arial" w:hAnsi="Arial" w:cs="Arial"/>
        </w:rPr>
      </w:pPr>
      <w:r>
        <w:rPr>
          <w:rFonts w:ascii="Arial" w:hAnsi="Arial" w:cs="Arial"/>
        </w:rPr>
        <w:t>And s</w:t>
      </w:r>
      <w:r w:rsidR="004D7D12">
        <w:rPr>
          <w:rFonts w:ascii="Arial" w:hAnsi="Arial" w:cs="Arial"/>
        </w:rPr>
        <w:t xml:space="preserve"> 195A, which is referred to in s. 193(7AB)(c):</w:t>
      </w:r>
    </w:p>
    <w:p w14:paraId="63B1B588" w14:textId="77777777" w:rsidR="004D7D12" w:rsidRDefault="004D7D12" w:rsidP="004D7D12">
      <w:pPr>
        <w:jc w:val="left"/>
        <w:rPr>
          <w:rFonts w:ascii="Arial" w:hAnsi="Arial" w:cs="Arial"/>
        </w:rPr>
      </w:pPr>
    </w:p>
    <w:p w14:paraId="536153DD" w14:textId="77777777" w:rsidR="004D7D12" w:rsidRPr="004D7D12" w:rsidRDefault="004D7D12" w:rsidP="004D7D12">
      <w:pPr>
        <w:spacing w:after="60"/>
        <w:ind w:left="567"/>
        <w:rPr>
          <w:rFonts w:ascii="Arial" w:hAnsi="Arial" w:cs="Arial"/>
          <w:b/>
          <w:bCs/>
          <w:i/>
          <w:iCs/>
          <w:spacing w:val="-3"/>
        </w:rPr>
      </w:pPr>
      <w:r w:rsidRPr="004D7D12">
        <w:rPr>
          <w:rFonts w:ascii="Arial" w:hAnsi="Arial" w:cs="Arial"/>
          <w:b/>
          <w:bCs/>
          <w:i/>
          <w:iCs/>
          <w:spacing w:val="-3"/>
        </w:rPr>
        <w:t>195A</w:t>
      </w:r>
      <w:r w:rsidRPr="004D7D12">
        <w:rPr>
          <w:rFonts w:ascii="Arial" w:hAnsi="Arial" w:cs="Arial"/>
          <w:b/>
          <w:bCs/>
          <w:i/>
          <w:iCs/>
          <w:spacing w:val="-3"/>
        </w:rPr>
        <w:tab/>
      </w:r>
      <w:r w:rsidRPr="004D7D12">
        <w:rPr>
          <w:rFonts w:ascii="Arial" w:hAnsi="Arial" w:cs="Arial"/>
          <w:b/>
          <w:bCs/>
          <w:i/>
          <w:iCs/>
          <w:spacing w:val="-3"/>
        </w:rPr>
        <w:tab/>
        <w:t>Re-application after private rented sector offer</w:t>
      </w:r>
    </w:p>
    <w:p w14:paraId="57DB160F" w14:textId="77777777" w:rsidR="004D7D12" w:rsidRPr="004D7D12" w:rsidRDefault="004D7D12" w:rsidP="004D7D12">
      <w:pPr>
        <w:ind w:left="567"/>
        <w:rPr>
          <w:rFonts w:ascii="Arial" w:hAnsi="Arial" w:cs="Arial"/>
          <w:i/>
          <w:iCs/>
          <w:spacing w:val="-3"/>
        </w:rPr>
      </w:pPr>
      <w:r w:rsidRPr="004D7D12">
        <w:rPr>
          <w:rFonts w:ascii="Arial" w:hAnsi="Arial" w:cs="Arial"/>
          <w:i/>
          <w:iCs/>
          <w:spacing w:val="-3"/>
        </w:rPr>
        <w:t>(1) If within two years beginning with the date on which an applicant accepts an offer under section 193(7AA) (private rented sector offer), the applicant re-applies for accommodation, or for assistance in obtaining accommodation, and the local housing authority -</w:t>
      </w:r>
    </w:p>
    <w:p w14:paraId="0AEA0FF3" w14:textId="77777777" w:rsidR="004D7D12" w:rsidRPr="004D7D12" w:rsidRDefault="004D7D12" w:rsidP="004D7D12">
      <w:pPr>
        <w:ind w:left="567"/>
        <w:rPr>
          <w:rFonts w:ascii="Arial" w:hAnsi="Arial" w:cs="Arial"/>
          <w:i/>
          <w:iCs/>
          <w:spacing w:val="-3"/>
        </w:rPr>
      </w:pPr>
      <w:r w:rsidRPr="004D7D12">
        <w:rPr>
          <w:rFonts w:ascii="Arial" w:hAnsi="Arial" w:cs="Arial"/>
          <w:i/>
          <w:iCs/>
          <w:spacing w:val="-3"/>
        </w:rPr>
        <w:t>(a)</w:t>
      </w:r>
      <w:r w:rsidRPr="004D7D12">
        <w:rPr>
          <w:rFonts w:ascii="Arial" w:hAnsi="Arial" w:cs="Arial"/>
          <w:i/>
          <w:iCs/>
          <w:spacing w:val="-3"/>
        </w:rPr>
        <w:tab/>
        <w:t>is satisfied that the applicant is homeless and eligible for assistance, and</w:t>
      </w:r>
    </w:p>
    <w:p w14:paraId="5072903A" w14:textId="77777777" w:rsidR="004D7D12" w:rsidRPr="004D7D12" w:rsidRDefault="004D7D12" w:rsidP="004D7D12">
      <w:pPr>
        <w:ind w:left="567"/>
        <w:rPr>
          <w:rFonts w:ascii="Arial" w:hAnsi="Arial" w:cs="Arial"/>
          <w:i/>
          <w:iCs/>
          <w:spacing w:val="-3"/>
        </w:rPr>
      </w:pPr>
      <w:r w:rsidRPr="004D7D12">
        <w:rPr>
          <w:rFonts w:ascii="Arial" w:hAnsi="Arial" w:cs="Arial"/>
          <w:i/>
          <w:iCs/>
          <w:spacing w:val="-3"/>
        </w:rPr>
        <w:t>(b)</w:t>
      </w:r>
      <w:r w:rsidRPr="004D7D12">
        <w:rPr>
          <w:rFonts w:ascii="Arial" w:hAnsi="Arial" w:cs="Arial"/>
          <w:i/>
          <w:iCs/>
          <w:spacing w:val="-3"/>
        </w:rPr>
        <w:tab/>
        <w:t>is not satisfied that the applicant became homeless intentionally,</w:t>
      </w:r>
    </w:p>
    <w:p w14:paraId="5613EEB0" w14:textId="77777777" w:rsidR="004D7D12" w:rsidRPr="004D7D12" w:rsidRDefault="004D7D12" w:rsidP="004D7D12">
      <w:pPr>
        <w:ind w:left="567"/>
        <w:rPr>
          <w:rFonts w:ascii="Arial" w:hAnsi="Arial" w:cs="Arial"/>
          <w:i/>
          <w:iCs/>
          <w:spacing w:val="-3"/>
        </w:rPr>
      </w:pPr>
      <w:r w:rsidRPr="004D7D12">
        <w:rPr>
          <w:rFonts w:ascii="Arial" w:hAnsi="Arial" w:cs="Arial"/>
          <w:i/>
          <w:iCs/>
          <w:spacing w:val="-3"/>
        </w:rPr>
        <w:t>the duty under section 193(2) applies regardless of whether the applicant has a priority need.</w:t>
      </w:r>
    </w:p>
    <w:p w14:paraId="55B8CC2C" w14:textId="77777777" w:rsidR="004D7D12" w:rsidRPr="004D7D12" w:rsidRDefault="004D7D12" w:rsidP="004D7D12">
      <w:pPr>
        <w:ind w:left="567"/>
        <w:rPr>
          <w:rFonts w:ascii="Arial" w:hAnsi="Arial" w:cs="Arial"/>
          <w:i/>
          <w:iCs/>
          <w:spacing w:val="-3"/>
        </w:rPr>
      </w:pPr>
    </w:p>
    <w:p w14:paraId="2D7DA5F4" w14:textId="77777777" w:rsidR="004D7D12" w:rsidRPr="004D7D12" w:rsidRDefault="004D7D12" w:rsidP="004D7D12">
      <w:pPr>
        <w:ind w:left="567"/>
        <w:rPr>
          <w:rFonts w:ascii="Arial" w:hAnsi="Arial" w:cs="Arial"/>
          <w:i/>
          <w:iCs/>
          <w:spacing w:val="-3"/>
        </w:rPr>
      </w:pPr>
      <w:r w:rsidRPr="004D7D12">
        <w:rPr>
          <w:rFonts w:ascii="Arial" w:hAnsi="Arial" w:cs="Arial"/>
          <w:i/>
          <w:iCs/>
          <w:spacing w:val="-3"/>
        </w:rPr>
        <w:t>(2) For the purpose of subsection (1), an applicant in respect of whom a valid notice under section 21 of the Housing Act 1988 (orders for possession on expiry or termination of assured shorthold tenancy) has been given is to be treated as homeless from the date on which that notice expires.</w:t>
      </w:r>
    </w:p>
    <w:p w14:paraId="48543FAE" w14:textId="77777777" w:rsidR="004D7D12" w:rsidRPr="004D7D12" w:rsidRDefault="004D7D12" w:rsidP="004D7D12">
      <w:pPr>
        <w:ind w:left="567"/>
        <w:rPr>
          <w:rFonts w:ascii="Arial" w:hAnsi="Arial" w:cs="Arial"/>
          <w:i/>
          <w:iCs/>
          <w:spacing w:val="-3"/>
        </w:rPr>
      </w:pPr>
    </w:p>
    <w:p w14:paraId="631BDF55" w14:textId="77777777" w:rsidR="004D7D12" w:rsidRPr="004D7D12" w:rsidRDefault="004D7D12" w:rsidP="004D7D12">
      <w:pPr>
        <w:ind w:left="567"/>
        <w:rPr>
          <w:rFonts w:ascii="Arial" w:hAnsi="Arial" w:cs="Arial"/>
          <w:i/>
          <w:iCs/>
          <w:spacing w:val="-3"/>
        </w:rPr>
      </w:pPr>
      <w:r w:rsidRPr="004D7D12">
        <w:rPr>
          <w:rFonts w:ascii="Arial" w:hAnsi="Arial" w:cs="Arial"/>
          <w:i/>
          <w:iCs/>
          <w:spacing w:val="-3"/>
        </w:rPr>
        <w:t>(5) Subsection (1) does not apply to a case where the local housing authority would not be satisfied as mentioned in that subsection without having regard to a restricted person.</w:t>
      </w:r>
    </w:p>
    <w:p w14:paraId="3F53BA03" w14:textId="77777777" w:rsidR="004D7D12" w:rsidRPr="004D7D12" w:rsidRDefault="004D7D12" w:rsidP="004D7D12">
      <w:pPr>
        <w:ind w:left="567"/>
        <w:rPr>
          <w:rFonts w:ascii="Arial" w:hAnsi="Arial" w:cs="Arial"/>
          <w:i/>
          <w:iCs/>
          <w:spacing w:val="-3"/>
        </w:rPr>
      </w:pPr>
    </w:p>
    <w:p w14:paraId="0A13E1C8" w14:textId="77777777" w:rsidR="004D7D12" w:rsidRPr="004D7D12" w:rsidRDefault="004D7D12" w:rsidP="004D7D12">
      <w:pPr>
        <w:ind w:left="567"/>
        <w:rPr>
          <w:rFonts w:ascii="Arial" w:hAnsi="Arial" w:cs="Arial"/>
          <w:i/>
          <w:iCs/>
          <w:spacing w:val="-3"/>
        </w:rPr>
      </w:pPr>
      <w:r w:rsidRPr="004D7D12">
        <w:rPr>
          <w:rFonts w:ascii="Arial" w:hAnsi="Arial" w:cs="Arial"/>
          <w:i/>
          <w:iCs/>
          <w:spacing w:val="-3"/>
        </w:rPr>
        <w:t>(6) Subsection (1) does not apply to a re-application by an applicant for accommodation, or for assistance in obtaining accommodation, if the immediately preceding application made by that applicant was one to which subsection (1) applied.</w:t>
      </w:r>
    </w:p>
    <w:p w14:paraId="617EAA8A" w14:textId="21735B96" w:rsidR="004D7D12" w:rsidRDefault="004D7D12" w:rsidP="004D7D12">
      <w:pPr>
        <w:jc w:val="left"/>
        <w:rPr>
          <w:rFonts w:ascii="Arial" w:hAnsi="Arial" w:cs="Arial"/>
        </w:rPr>
      </w:pPr>
    </w:p>
    <w:p w14:paraId="3BB6D522" w14:textId="701B5224" w:rsidR="003C6623" w:rsidRDefault="003C6623" w:rsidP="004D7D12">
      <w:pPr>
        <w:jc w:val="left"/>
        <w:rPr>
          <w:rFonts w:ascii="Arial" w:hAnsi="Arial" w:cs="Arial"/>
        </w:rPr>
      </w:pPr>
    </w:p>
    <w:p w14:paraId="632B1248" w14:textId="79E1A367" w:rsidR="003C6623" w:rsidRDefault="003C6623" w:rsidP="003C6623">
      <w:pPr>
        <w:jc w:val="left"/>
        <w:rPr>
          <w:rFonts w:ascii="Arial" w:hAnsi="Arial" w:cs="Arial"/>
          <w:b/>
          <w:bCs/>
        </w:rPr>
      </w:pPr>
      <w:r>
        <w:rPr>
          <w:rFonts w:ascii="Arial" w:hAnsi="Arial" w:cs="Arial"/>
          <w:b/>
          <w:bCs/>
        </w:rPr>
        <w:t>Point 1</w:t>
      </w:r>
    </w:p>
    <w:p w14:paraId="7D2896BE" w14:textId="6564CFFA" w:rsidR="003C6623" w:rsidRDefault="003C6623" w:rsidP="003C6623">
      <w:pPr>
        <w:rPr>
          <w:rFonts w:ascii="Arial" w:hAnsi="Arial" w:cs="Arial"/>
          <w:i/>
          <w:iCs/>
          <w:spacing w:val="-3"/>
        </w:rPr>
      </w:pPr>
      <w:r>
        <w:rPr>
          <w:rFonts w:ascii="Arial" w:hAnsi="Arial" w:cs="Arial"/>
        </w:rPr>
        <w:t xml:space="preserve">By s. 193(7AA), when the LHA makes a PRSO it must inform the applicant of the matters set out in s. 193(7AB). These include, in ss. 193(7AB)(c) </w:t>
      </w:r>
      <w:r w:rsidRPr="003C6623">
        <w:rPr>
          <w:rFonts w:ascii="Arial" w:hAnsi="Arial" w:cs="Arial"/>
          <w:i/>
          <w:iCs/>
          <w:spacing w:val="-3"/>
        </w:rPr>
        <w:t>the effect under section 195A of a further application to a local housing authority within two years of acceptance of the offer.</w:t>
      </w:r>
    </w:p>
    <w:p w14:paraId="118152CA" w14:textId="2951D42B" w:rsidR="003C6623" w:rsidRDefault="003C6623" w:rsidP="003C6623">
      <w:pPr>
        <w:rPr>
          <w:rFonts w:ascii="Arial" w:hAnsi="Arial" w:cs="Arial"/>
          <w:i/>
          <w:iCs/>
          <w:spacing w:val="-3"/>
        </w:rPr>
      </w:pPr>
    </w:p>
    <w:p w14:paraId="29D820C9" w14:textId="783041CD" w:rsidR="003C6623" w:rsidRDefault="003C6623" w:rsidP="003C6623">
      <w:pPr>
        <w:rPr>
          <w:rFonts w:ascii="Arial" w:hAnsi="Arial" w:cs="Arial"/>
          <w:spacing w:val="-3"/>
        </w:rPr>
      </w:pPr>
      <w:r>
        <w:rPr>
          <w:rFonts w:ascii="Arial" w:hAnsi="Arial" w:cs="Arial"/>
          <w:spacing w:val="-3"/>
        </w:rPr>
        <w:t>The letter offering Mr Norton a PRSO told him about the effect s. 195A(1</w:t>
      </w:r>
      <w:proofErr w:type="gramStart"/>
      <w:r>
        <w:rPr>
          <w:rFonts w:ascii="Arial" w:hAnsi="Arial" w:cs="Arial"/>
          <w:spacing w:val="-3"/>
        </w:rPr>
        <w:t>), but</w:t>
      </w:r>
      <w:proofErr w:type="gramEnd"/>
      <w:r>
        <w:rPr>
          <w:rFonts w:ascii="Arial" w:hAnsi="Arial" w:cs="Arial"/>
          <w:spacing w:val="-3"/>
        </w:rPr>
        <w:t xml:space="preserve"> did not inform him of the date of his deemed homelessness under s. 195A(2); i.e. that</w:t>
      </w:r>
      <w:r w:rsidR="008D60AE">
        <w:rPr>
          <w:rFonts w:ascii="Arial" w:hAnsi="Arial" w:cs="Arial"/>
          <w:spacing w:val="-3"/>
        </w:rPr>
        <w:t>,</w:t>
      </w:r>
      <w:r>
        <w:rPr>
          <w:rFonts w:ascii="Arial" w:hAnsi="Arial" w:cs="Arial"/>
          <w:spacing w:val="-3"/>
        </w:rPr>
        <w:t xml:space="preserve"> if the landlord of the premises offered to him as a PRSO served a section 21 Notice</w:t>
      </w:r>
      <w:r w:rsidR="008D60AE">
        <w:rPr>
          <w:rFonts w:ascii="Arial" w:hAnsi="Arial" w:cs="Arial"/>
          <w:spacing w:val="-3"/>
        </w:rPr>
        <w:t>,</w:t>
      </w:r>
      <w:r>
        <w:rPr>
          <w:rFonts w:ascii="Arial" w:hAnsi="Arial" w:cs="Arial"/>
          <w:spacing w:val="-3"/>
        </w:rPr>
        <w:t xml:space="preserve"> his deemed date of homelessness is the date of expiry of that notice and not when any possession order is enforced.</w:t>
      </w:r>
    </w:p>
    <w:p w14:paraId="210E2E16" w14:textId="77777777" w:rsidR="003C6623" w:rsidRDefault="003C6623" w:rsidP="003C6623">
      <w:pPr>
        <w:rPr>
          <w:rFonts w:ascii="Arial" w:hAnsi="Arial" w:cs="Arial"/>
          <w:spacing w:val="-3"/>
        </w:rPr>
      </w:pPr>
    </w:p>
    <w:p w14:paraId="78CBA312" w14:textId="0520808E" w:rsidR="003C6623" w:rsidRDefault="003C6623" w:rsidP="003C6623">
      <w:pPr>
        <w:rPr>
          <w:rFonts w:ascii="Arial" w:hAnsi="Arial" w:cs="Arial"/>
          <w:spacing w:val="-3"/>
        </w:rPr>
      </w:pPr>
      <w:r>
        <w:rPr>
          <w:rFonts w:ascii="Arial" w:hAnsi="Arial" w:cs="Arial"/>
          <w:spacing w:val="-3"/>
        </w:rPr>
        <w:t xml:space="preserve">The </w:t>
      </w:r>
      <w:r w:rsidR="008D60AE">
        <w:rPr>
          <w:rFonts w:ascii="Arial" w:hAnsi="Arial" w:cs="Arial"/>
          <w:spacing w:val="-3"/>
        </w:rPr>
        <w:t>CA</w:t>
      </w:r>
      <w:r>
        <w:rPr>
          <w:rFonts w:ascii="Arial" w:hAnsi="Arial" w:cs="Arial"/>
          <w:spacing w:val="-3"/>
        </w:rPr>
        <w:t xml:space="preserve"> held that the requirement under s. 193(7AB)(c) includes an obligation to tell the applicant about th</w:t>
      </w:r>
      <w:r w:rsidR="008D60AE">
        <w:rPr>
          <w:rFonts w:ascii="Arial" w:hAnsi="Arial" w:cs="Arial"/>
          <w:spacing w:val="-3"/>
        </w:rPr>
        <w:t>at</w:t>
      </w:r>
      <w:r>
        <w:rPr>
          <w:rFonts w:ascii="Arial" w:hAnsi="Arial" w:cs="Arial"/>
          <w:spacing w:val="-3"/>
        </w:rPr>
        <w:t xml:space="preserve"> effect of s. 195A(2).</w:t>
      </w:r>
    </w:p>
    <w:p w14:paraId="0FF8F5FB" w14:textId="77777777" w:rsidR="003C6623" w:rsidRDefault="003C6623" w:rsidP="003C6623">
      <w:pPr>
        <w:rPr>
          <w:rFonts w:ascii="Arial" w:hAnsi="Arial" w:cs="Arial"/>
          <w:spacing w:val="-3"/>
        </w:rPr>
      </w:pPr>
    </w:p>
    <w:p w14:paraId="434545B8" w14:textId="4AF07165" w:rsidR="003C6623" w:rsidRDefault="003C6623" w:rsidP="003C6623">
      <w:pPr>
        <w:rPr>
          <w:rFonts w:ascii="Arial" w:hAnsi="Arial" w:cs="Arial"/>
          <w:spacing w:val="-3"/>
        </w:rPr>
      </w:pPr>
      <w:r>
        <w:rPr>
          <w:rFonts w:ascii="Arial" w:hAnsi="Arial" w:cs="Arial"/>
          <w:spacing w:val="-3"/>
        </w:rPr>
        <w:t xml:space="preserve">The </w:t>
      </w:r>
      <w:r w:rsidR="008D60AE">
        <w:rPr>
          <w:rFonts w:ascii="Arial" w:hAnsi="Arial" w:cs="Arial"/>
          <w:spacing w:val="-3"/>
        </w:rPr>
        <w:t xml:space="preserve">CA </w:t>
      </w:r>
      <w:r>
        <w:rPr>
          <w:rFonts w:ascii="Arial" w:hAnsi="Arial" w:cs="Arial"/>
          <w:spacing w:val="-3"/>
        </w:rPr>
        <w:t xml:space="preserve">also raised whether a PRSO should also tell an applicant about the effect of s 195A(6); i.e. that the deemed priority need on a further homeless application within two years of </w:t>
      </w:r>
      <w:r>
        <w:rPr>
          <w:rFonts w:ascii="Arial" w:hAnsi="Arial" w:cs="Arial"/>
          <w:spacing w:val="-3"/>
        </w:rPr>
        <w:lastRenderedPageBreak/>
        <w:t>acceptance of a PRSO only applies after the end of a first PRSO and not after the second PRSO.</w:t>
      </w:r>
      <w:r w:rsidR="008D60AE">
        <w:rPr>
          <w:rFonts w:ascii="Arial" w:hAnsi="Arial" w:cs="Arial"/>
          <w:spacing w:val="-3"/>
        </w:rPr>
        <w:t xml:space="preserve"> In the event, the CA did not need to decide that question.</w:t>
      </w:r>
    </w:p>
    <w:p w14:paraId="2B4AA0BF" w14:textId="69057EB3" w:rsidR="003C6623" w:rsidRDefault="003C6623" w:rsidP="003C6623">
      <w:pPr>
        <w:rPr>
          <w:rFonts w:ascii="Arial" w:hAnsi="Arial" w:cs="Arial"/>
          <w:spacing w:val="-3"/>
        </w:rPr>
      </w:pPr>
    </w:p>
    <w:p w14:paraId="12DA8587" w14:textId="053B172C" w:rsidR="003C6623" w:rsidRDefault="003C6623" w:rsidP="003C6623">
      <w:pPr>
        <w:rPr>
          <w:rFonts w:ascii="Arial" w:hAnsi="Arial" w:cs="Arial"/>
          <w:b/>
          <w:bCs/>
          <w:spacing w:val="-3"/>
        </w:rPr>
      </w:pPr>
      <w:r>
        <w:rPr>
          <w:rFonts w:ascii="Arial" w:hAnsi="Arial" w:cs="Arial"/>
          <w:b/>
          <w:bCs/>
          <w:spacing w:val="-3"/>
        </w:rPr>
        <w:t>Action Required: Check your PRS Offer letters. They must include details of the effect of s. 195A(2) and we would advise that they also include details of the effect of s. 195A(6).</w:t>
      </w:r>
      <w:r w:rsidR="00A51AC6">
        <w:rPr>
          <w:rFonts w:ascii="Arial" w:hAnsi="Arial" w:cs="Arial"/>
          <w:b/>
          <w:bCs/>
          <w:spacing w:val="-3"/>
        </w:rPr>
        <w:t xml:space="preserve"> It </w:t>
      </w:r>
      <w:r w:rsidR="002B18B2">
        <w:rPr>
          <w:rFonts w:ascii="Arial" w:hAnsi="Arial" w:cs="Arial"/>
          <w:b/>
          <w:bCs/>
          <w:spacing w:val="-3"/>
        </w:rPr>
        <w:t>may be</w:t>
      </w:r>
      <w:r w:rsidR="00A51AC6">
        <w:rPr>
          <w:rFonts w:ascii="Arial" w:hAnsi="Arial" w:cs="Arial"/>
          <w:b/>
          <w:bCs/>
          <w:spacing w:val="-3"/>
        </w:rPr>
        <w:t xml:space="preserve"> </w:t>
      </w:r>
      <w:r w:rsidR="006E19A6">
        <w:rPr>
          <w:rFonts w:ascii="Arial" w:hAnsi="Arial" w:cs="Arial"/>
          <w:b/>
          <w:bCs/>
          <w:spacing w:val="-3"/>
        </w:rPr>
        <w:t>advisable to set</w:t>
      </w:r>
      <w:r w:rsidR="00A51AC6">
        <w:rPr>
          <w:rFonts w:ascii="Arial" w:hAnsi="Arial" w:cs="Arial"/>
          <w:b/>
          <w:bCs/>
          <w:spacing w:val="-3"/>
        </w:rPr>
        <w:t xml:space="preserve"> out s.</w:t>
      </w:r>
      <w:r w:rsidR="002B18B2">
        <w:rPr>
          <w:rFonts w:ascii="Arial" w:hAnsi="Arial" w:cs="Arial"/>
          <w:b/>
          <w:bCs/>
          <w:spacing w:val="-3"/>
        </w:rPr>
        <w:t xml:space="preserve"> </w:t>
      </w:r>
      <w:r w:rsidR="00A51AC6">
        <w:rPr>
          <w:rFonts w:ascii="Arial" w:hAnsi="Arial" w:cs="Arial"/>
          <w:b/>
          <w:bCs/>
          <w:spacing w:val="-3"/>
        </w:rPr>
        <w:t xml:space="preserve">195A in its entirety as well as explaining its </w:t>
      </w:r>
      <w:r w:rsidR="006E19A6">
        <w:rPr>
          <w:rFonts w:ascii="Arial" w:hAnsi="Arial" w:cs="Arial"/>
          <w:b/>
          <w:bCs/>
          <w:spacing w:val="-3"/>
        </w:rPr>
        <w:t xml:space="preserve">effect. </w:t>
      </w:r>
    </w:p>
    <w:p w14:paraId="730C1C8A" w14:textId="32AFCE0D" w:rsidR="003C6623" w:rsidRDefault="003C6623" w:rsidP="003C6623">
      <w:pPr>
        <w:rPr>
          <w:rFonts w:ascii="Arial" w:hAnsi="Arial" w:cs="Arial"/>
          <w:b/>
          <w:bCs/>
          <w:spacing w:val="-3"/>
        </w:rPr>
      </w:pPr>
    </w:p>
    <w:p w14:paraId="1D809321" w14:textId="68991AA0" w:rsidR="003C6623" w:rsidRDefault="003C6623" w:rsidP="003C6623">
      <w:pPr>
        <w:rPr>
          <w:rFonts w:ascii="Arial" w:hAnsi="Arial" w:cs="Arial"/>
          <w:b/>
          <w:bCs/>
          <w:spacing w:val="-3"/>
        </w:rPr>
      </w:pPr>
    </w:p>
    <w:p w14:paraId="549F4A75" w14:textId="5820FB70" w:rsidR="003C6623" w:rsidRDefault="003C6623" w:rsidP="003C6623">
      <w:pPr>
        <w:rPr>
          <w:rFonts w:ascii="Arial" w:hAnsi="Arial" w:cs="Arial"/>
          <w:b/>
          <w:bCs/>
          <w:spacing w:val="-3"/>
        </w:rPr>
      </w:pPr>
      <w:r>
        <w:rPr>
          <w:rFonts w:ascii="Arial" w:hAnsi="Arial" w:cs="Arial"/>
          <w:b/>
          <w:bCs/>
          <w:spacing w:val="-3"/>
        </w:rPr>
        <w:t>Point 2</w:t>
      </w:r>
    </w:p>
    <w:p w14:paraId="045ACA0A" w14:textId="3EC71A46" w:rsidR="003C6623" w:rsidRDefault="006B7896" w:rsidP="003C6623">
      <w:pPr>
        <w:rPr>
          <w:rFonts w:ascii="Arial" w:hAnsi="Arial" w:cs="Arial"/>
          <w:spacing w:val="-3"/>
        </w:rPr>
      </w:pPr>
      <w:r>
        <w:rPr>
          <w:rFonts w:ascii="Arial" w:hAnsi="Arial" w:cs="Arial"/>
          <w:spacing w:val="-3"/>
        </w:rPr>
        <w:t xml:space="preserve">Mr Norton’s licence required him to give 7 days’ notice to quit. </w:t>
      </w:r>
      <w:proofErr w:type="gramStart"/>
      <w:r>
        <w:rPr>
          <w:rFonts w:ascii="Arial" w:hAnsi="Arial" w:cs="Arial"/>
          <w:spacing w:val="-3"/>
        </w:rPr>
        <w:t>In reality the</w:t>
      </w:r>
      <w:proofErr w:type="gramEnd"/>
      <w:r>
        <w:rPr>
          <w:rFonts w:ascii="Arial" w:hAnsi="Arial" w:cs="Arial"/>
          <w:spacing w:val="-3"/>
        </w:rPr>
        <w:t xml:space="preserve"> licence was determined when LB Haringey withdrew any temporary accommodation booking. However, </w:t>
      </w:r>
      <w:r w:rsidR="002B3D36">
        <w:rPr>
          <w:rFonts w:ascii="Arial" w:hAnsi="Arial" w:cs="Arial"/>
          <w:spacing w:val="-3"/>
        </w:rPr>
        <w:t>s</w:t>
      </w:r>
      <w:r>
        <w:rPr>
          <w:rFonts w:ascii="Arial" w:hAnsi="Arial" w:cs="Arial"/>
          <w:spacing w:val="-3"/>
        </w:rPr>
        <w:t xml:space="preserve">s. 193(7F) and 193(8) have the effect that the LHA cannot make a PRSO unless they are satisfied that the applicant can end his contractual obligations in relation to his current accommodation before being required to take up the PRSO. This may require the LHA to know the terms of the applicant’s current accommodation; i.e. on what notice period it can be determined by the applicant and to get the landlord of the PRSO accommodation to vary the date of commencement of the tenancy to be granted accordingly </w:t>
      </w:r>
      <w:proofErr w:type="gramStart"/>
      <w:r>
        <w:rPr>
          <w:rFonts w:ascii="Arial" w:hAnsi="Arial" w:cs="Arial"/>
          <w:spacing w:val="-3"/>
        </w:rPr>
        <w:t>so as to</w:t>
      </w:r>
      <w:proofErr w:type="gramEnd"/>
      <w:r>
        <w:rPr>
          <w:rFonts w:ascii="Arial" w:hAnsi="Arial" w:cs="Arial"/>
          <w:spacing w:val="-3"/>
        </w:rPr>
        <w:t xml:space="preserve"> give the applicant enough time to determine those obligations. There may be other mechanisms by which the LHA can satisfy itself that the applicant will have time to determine their relevant contractual obligations: e.g. providing in relevant licensed that where the applicant has been made a PRSO and accepts it, they can determine that licence with immediate effect.</w:t>
      </w:r>
    </w:p>
    <w:p w14:paraId="76E70B98" w14:textId="18B4AFA5" w:rsidR="006B7896" w:rsidRDefault="006B7896" w:rsidP="003C6623">
      <w:pPr>
        <w:rPr>
          <w:rFonts w:ascii="Arial" w:hAnsi="Arial" w:cs="Arial"/>
          <w:spacing w:val="-3"/>
        </w:rPr>
      </w:pPr>
    </w:p>
    <w:p w14:paraId="66C3164B" w14:textId="3FA4E7E6" w:rsidR="006B7896" w:rsidRDefault="006B7896" w:rsidP="003C6623">
      <w:pPr>
        <w:rPr>
          <w:rFonts w:ascii="Arial" w:hAnsi="Arial" w:cs="Arial"/>
          <w:b/>
          <w:bCs/>
          <w:spacing w:val="-3"/>
        </w:rPr>
      </w:pPr>
      <w:r>
        <w:rPr>
          <w:rFonts w:ascii="Arial" w:hAnsi="Arial" w:cs="Arial"/>
          <w:b/>
          <w:bCs/>
          <w:spacing w:val="-3"/>
        </w:rPr>
        <w:t>Action Required: Look at the contract pursuant to</w:t>
      </w:r>
      <w:r w:rsidR="008D60AE">
        <w:rPr>
          <w:rFonts w:ascii="Arial" w:hAnsi="Arial" w:cs="Arial"/>
          <w:b/>
          <w:bCs/>
          <w:spacing w:val="-3"/>
        </w:rPr>
        <w:t xml:space="preserve"> which</w:t>
      </w:r>
      <w:r>
        <w:rPr>
          <w:rFonts w:ascii="Arial" w:hAnsi="Arial" w:cs="Arial"/>
          <w:b/>
          <w:bCs/>
          <w:spacing w:val="-3"/>
        </w:rPr>
        <w:t xml:space="preserve"> the applicant is occupying their current temporary (or unreasonable) </w:t>
      </w:r>
      <w:proofErr w:type="gramStart"/>
      <w:r>
        <w:rPr>
          <w:rFonts w:ascii="Arial" w:hAnsi="Arial" w:cs="Arial"/>
          <w:b/>
          <w:bCs/>
          <w:spacing w:val="-3"/>
        </w:rPr>
        <w:t>occupation</w:t>
      </w:r>
      <w:r w:rsidR="008D60AE">
        <w:rPr>
          <w:rFonts w:ascii="Arial" w:hAnsi="Arial" w:cs="Arial"/>
          <w:b/>
          <w:bCs/>
          <w:spacing w:val="-3"/>
        </w:rPr>
        <w:t>,</w:t>
      </w:r>
      <w:r>
        <w:rPr>
          <w:rFonts w:ascii="Arial" w:hAnsi="Arial" w:cs="Arial"/>
          <w:b/>
          <w:bCs/>
          <w:spacing w:val="-3"/>
        </w:rPr>
        <w:t xml:space="preserve"> and</w:t>
      </w:r>
      <w:proofErr w:type="gramEnd"/>
      <w:r>
        <w:rPr>
          <w:rFonts w:ascii="Arial" w:hAnsi="Arial" w:cs="Arial"/>
          <w:b/>
          <w:bCs/>
          <w:spacing w:val="-3"/>
        </w:rPr>
        <w:t xml:space="preserve"> provide enough time before commencement of the PRSO to allow them to end the obligations under it before they are required to take up the tenancy granted by way of PRSO. Or contact the provider of that accommodation and ask them to agree that the applicant can determine their occupation contract on short notice.</w:t>
      </w:r>
    </w:p>
    <w:p w14:paraId="35B377A5" w14:textId="6F51854C" w:rsidR="006B7896" w:rsidRDefault="006B7896" w:rsidP="003C6623">
      <w:pPr>
        <w:rPr>
          <w:rFonts w:ascii="Arial" w:hAnsi="Arial" w:cs="Arial"/>
          <w:b/>
          <w:bCs/>
          <w:spacing w:val="-3"/>
        </w:rPr>
      </w:pPr>
    </w:p>
    <w:p w14:paraId="25739B30" w14:textId="77777777" w:rsidR="006B7896" w:rsidRDefault="006B7896" w:rsidP="003C6623">
      <w:pPr>
        <w:rPr>
          <w:rFonts w:ascii="Arial" w:hAnsi="Arial" w:cs="Arial"/>
          <w:b/>
          <w:bCs/>
          <w:spacing w:val="-3"/>
        </w:rPr>
      </w:pPr>
    </w:p>
    <w:p w14:paraId="7C69ABB5" w14:textId="5F154D8A" w:rsidR="006B7896" w:rsidRDefault="006B7896" w:rsidP="003C6623">
      <w:pPr>
        <w:rPr>
          <w:rFonts w:ascii="Arial" w:hAnsi="Arial" w:cs="Arial"/>
          <w:b/>
          <w:bCs/>
          <w:spacing w:val="-3"/>
        </w:rPr>
      </w:pPr>
      <w:r>
        <w:rPr>
          <w:rFonts w:ascii="Arial" w:hAnsi="Arial" w:cs="Arial"/>
          <w:b/>
          <w:bCs/>
          <w:spacing w:val="-3"/>
        </w:rPr>
        <w:t>Point 3</w:t>
      </w:r>
    </w:p>
    <w:p w14:paraId="4F4C7D73" w14:textId="1A6EB63A" w:rsidR="006B7896" w:rsidRDefault="006B7896" w:rsidP="003C6623">
      <w:pPr>
        <w:rPr>
          <w:rFonts w:ascii="Arial" w:hAnsi="Arial" w:cs="Arial"/>
          <w:spacing w:val="-3"/>
        </w:rPr>
      </w:pPr>
      <w:r>
        <w:rPr>
          <w:rFonts w:ascii="Arial" w:hAnsi="Arial" w:cs="Arial"/>
          <w:spacing w:val="-3"/>
        </w:rPr>
        <w:t xml:space="preserve">Under the 2012 Suitability Order, Art 3, the LHA must be satisfied of certain matters in relation to the physical characteristics of the accommodation to be offered by way of a PRSO or of the landlord. One of the factors, </w:t>
      </w:r>
      <w:r w:rsidR="000A012B">
        <w:rPr>
          <w:rFonts w:ascii="Arial" w:hAnsi="Arial" w:cs="Arial"/>
          <w:spacing w:val="-3"/>
        </w:rPr>
        <w:t xml:space="preserve">under para. </w:t>
      </w:r>
      <w:r>
        <w:rPr>
          <w:rFonts w:ascii="Arial" w:hAnsi="Arial" w:cs="Arial"/>
          <w:spacing w:val="-3"/>
        </w:rPr>
        <w:t xml:space="preserve">(a), is that: </w:t>
      </w:r>
      <w:r w:rsidRPr="006B7896">
        <w:rPr>
          <w:rFonts w:ascii="Arial" w:hAnsi="Arial" w:cs="Arial"/>
          <w:i/>
          <w:iCs/>
          <w:spacing w:val="-3"/>
        </w:rPr>
        <w:t>the [LHA] are of the view that the accommodation is not in a reasonable physical condition</w:t>
      </w:r>
      <w:r>
        <w:rPr>
          <w:rFonts w:ascii="Arial" w:hAnsi="Arial" w:cs="Arial"/>
          <w:spacing w:val="-3"/>
        </w:rPr>
        <w:t>. In this case the PRSO offer let</w:t>
      </w:r>
      <w:r w:rsidR="00306405">
        <w:rPr>
          <w:rFonts w:ascii="Arial" w:hAnsi="Arial" w:cs="Arial"/>
          <w:spacing w:val="-3"/>
        </w:rPr>
        <w:t>te</w:t>
      </w:r>
      <w:r>
        <w:rPr>
          <w:rFonts w:ascii="Arial" w:hAnsi="Arial" w:cs="Arial"/>
          <w:spacing w:val="-3"/>
        </w:rPr>
        <w:t xml:space="preserve">r, dated 8.1.2021 referred to a report that </w:t>
      </w:r>
      <w:proofErr w:type="spellStart"/>
      <w:r>
        <w:rPr>
          <w:rFonts w:ascii="Arial" w:hAnsi="Arial" w:cs="Arial"/>
          <w:spacing w:val="-3"/>
        </w:rPr>
        <w:t>post dated</w:t>
      </w:r>
      <w:proofErr w:type="spellEnd"/>
      <w:r>
        <w:rPr>
          <w:rFonts w:ascii="Arial" w:hAnsi="Arial" w:cs="Arial"/>
          <w:spacing w:val="-3"/>
        </w:rPr>
        <w:t xml:space="preserve"> the offer</w:t>
      </w:r>
      <w:r w:rsidR="00306405">
        <w:rPr>
          <w:rFonts w:ascii="Arial" w:hAnsi="Arial" w:cs="Arial"/>
          <w:spacing w:val="-3"/>
        </w:rPr>
        <w:t>; i.e. 21.1.2021. No evidence was ever produced of such a report before the PRSO was made notwithstanding that Mr Norton’s solicitors asked for it. It was clear from a schedule to the tenancy agreement that set out the condition of the premises that if LB Haringey had had a report before the offer was made it could very easily have been satisfied that the premises were in a reasonable physical condition.</w:t>
      </w:r>
    </w:p>
    <w:p w14:paraId="1F373ABE" w14:textId="24D5464B" w:rsidR="00306405" w:rsidRDefault="00306405" w:rsidP="003C6623">
      <w:pPr>
        <w:rPr>
          <w:rFonts w:ascii="Arial" w:hAnsi="Arial" w:cs="Arial"/>
          <w:spacing w:val="-3"/>
        </w:rPr>
      </w:pPr>
    </w:p>
    <w:p w14:paraId="24F678B9" w14:textId="0B0F6FFC" w:rsidR="00306405" w:rsidRDefault="00306405" w:rsidP="003C6623">
      <w:pPr>
        <w:rPr>
          <w:rFonts w:ascii="Arial" w:hAnsi="Arial" w:cs="Arial"/>
          <w:spacing w:val="-3"/>
        </w:rPr>
      </w:pPr>
      <w:r>
        <w:rPr>
          <w:rFonts w:ascii="Arial" w:hAnsi="Arial" w:cs="Arial"/>
          <w:spacing w:val="-3"/>
        </w:rPr>
        <w:t>The appeal was allowed on this ground because there was</w:t>
      </w:r>
      <w:r w:rsidR="002B3D36">
        <w:rPr>
          <w:rFonts w:ascii="Arial" w:hAnsi="Arial" w:cs="Arial"/>
          <w:spacing w:val="-3"/>
        </w:rPr>
        <w:t xml:space="preserve"> </w:t>
      </w:r>
      <w:r>
        <w:rPr>
          <w:rFonts w:ascii="Arial" w:hAnsi="Arial" w:cs="Arial"/>
          <w:spacing w:val="-3"/>
        </w:rPr>
        <w:t xml:space="preserve">no evidence </w:t>
      </w:r>
      <w:proofErr w:type="gramStart"/>
      <w:r w:rsidR="002B3D36">
        <w:rPr>
          <w:rFonts w:ascii="Arial" w:hAnsi="Arial" w:cs="Arial"/>
          <w:spacing w:val="-3"/>
        </w:rPr>
        <w:t xml:space="preserve">provided </w:t>
      </w:r>
      <w:r>
        <w:rPr>
          <w:rFonts w:ascii="Arial" w:hAnsi="Arial" w:cs="Arial"/>
          <w:spacing w:val="-3"/>
        </w:rPr>
        <w:t>that</w:t>
      </w:r>
      <w:proofErr w:type="gramEnd"/>
      <w:r>
        <w:rPr>
          <w:rFonts w:ascii="Arial" w:hAnsi="Arial" w:cs="Arial"/>
          <w:spacing w:val="-3"/>
        </w:rPr>
        <w:t xml:space="preserve"> LB Haringey a report upon which it could satisfy itself of the requirement in Art 3, para (a) before the PRSO was made. The Court of Appeal did not accept that the reference to a report dated 21.1.2021 must have been a typing error and that there must have been a relevant report.</w:t>
      </w:r>
    </w:p>
    <w:p w14:paraId="33AA35A3" w14:textId="23D88848" w:rsidR="00306405" w:rsidRDefault="00306405" w:rsidP="003C6623">
      <w:pPr>
        <w:rPr>
          <w:rFonts w:ascii="Arial" w:hAnsi="Arial" w:cs="Arial"/>
          <w:spacing w:val="-3"/>
        </w:rPr>
      </w:pPr>
    </w:p>
    <w:p w14:paraId="510A8545" w14:textId="71572CBC" w:rsidR="003C6623" w:rsidRDefault="00306405" w:rsidP="008D60AE">
      <w:pPr>
        <w:jc w:val="left"/>
        <w:rPr>
          <w:rFonts w:ascii="Arial" w:hAnsi="Arial" w:cs="Arial"/>
          <w:b/>
          <w:bCs/>
          <w:spacing w:val="-3"/>
        </w:rPr>
      </w:pPr>
      <w:r>
        <w:rPr>
          <w:rFonts w:ascii="Arial" w:hAnsi="Arial" w:cs="Arial"/>
          <w:b/>
          <w:bCs/>
          <w:spacing w:val="-3"/>
        </w:rPr>
        <w:t>Action Required: Make sure that there is on file</w:t>
      </w:r>
      <w:r w:rsidR="008D60AE">
        <w:rPr>
          <w:rFonts w:ascii="Arial" w:hAnsi="Arial" w:cs="Arial"/>
          <w:b/>
          <w:bCs/>
          <w:spacing w:val="-3"/>
        </w:rPr>
        <w:t>,</w:t>
      </w:r>
      <w:r>
        <w:rPr>
          <w:rFonts w:ascii="Arial" w:hAnsi="Arial" w:cs="Arial"/>
          <w:b/>
          <w:bCs/>
          <w:spacing w:val="-3"/>
        </w:rPr>
        <w:t xml:space="preserve"> in relation to each premises that it is proposed to offer as a PRSO</w:t>
      </w:r>
      <w:r w:rsidR="008D60AE">
        <w:rPr>
          <w:rFonts w:ascii="Arial" w:hAnsi="Arial" w:cs="Arial"/>
          <w:b/>
          <w:bCs/>
          <w:spacing w:val="-3"/>
        </w:rPr>
        <w:t>,</w:t>
      </w:r>
      <w:r>
        <w:rPr>
          <w:rFonts w:ascii="Arial" w:hAnsi="Arial" w:cs="Arial"/>
          <w:b/>
          <w:bCs/>
          <w:spacing w:val="-3"/>
        </w:rPr>
        <w:t xml:space="preserve"> the evidence to meet the Art 3 requirements before the offer is made.</w:t>
      </w:r>
    </w:p>
    <w:p w14:paraId="385C1F95" w14:textId="24518A91" w:rsidR="000A012B" w:rsidRDefault="000A012B" w:rsidP="008D60AE">
      <w:pPr>
        <w:jc w:val="left"/>
        <w:rPr>
          <w:rFonts w:ascii="Arial" w:hAnsi="Arial" w:cs="Arial"/>
          <w:b/>
          <w:bCs/>
          <w:spacing w:val="-3"/>
        </w:rPr>
      </w:pPr>
    </w:p>
    <w:p w14:paraId="673D98B1" w14:textId="77777777" w:rsidR="000A012B" w:rsidRDefault="000A012B" w:rsidP="008D60AE">
      <w:pPr>
        <w:jc w:val="left"/>
        <w:rPr>
          <w:rFonts w:ascii="Arial" w:hAnsi="Arial" w:cs="Arial"/>
          <w:b/>
          <w:bCs/>
          <w:spacing w:val="-3"/>
        </w:rPr>
      </w:pPr>
    </w:p>
    <w:p w14:paraId="14DBA063" w14:textId="2BFFD7A0" w:rsidR="000A012B" w:rsidRDefault="000A012B" w:rsidP="008D60AE">
      <w:pPr>
        <w:jc w:val="left"/>
        <w:rPr>
          <w:rFonts w:ascii="Arial" w:hAnsi="Arial" w:cs="Arial"/>
          <w:spacing w:val="-3"/>
        </w:rPr>
      </w:pPr>
      <w:r>
        <w:rPr>
          <w:rFonts w:ascii="Arial" w:hAnsi="Arial" w:cs="Arial"/>
          <w:spacing w:val="-3"/>
        </w:rPr>
        <w:t>19</w:t>
      </w:r>
      <w:r w:rsidRPr="000A012B">
        <w:rPr>
          <w:rFonts w:ascii="Arial" w:hAnsi="Arial" w:cs="Arial"/>
          <w:spacing w:val="-3"/>
          <w:vertAlign w:val="superscript"/>
        </w:rPr>
        <w:t>th</w:t>
      </w:r>
      <w:r>
        <w:rPr>
          <w:rFonts w:ascii="Arial" w:hAnsi="Arial" w:cs="Arial"/>
          <w:spacing w:val="-3"/>
        </w:rPr>
        <w:t xml:space="preserve"> October 2022</w:t>
      </w:r>
    </w:p>
    <w:p w14:paraId="10FFE560" w14:textId="5308AA33" w:rsidR="000A012B" w:rsidRDefault="000A012B" w:rsidP="000A012B">
      <w:pPr>
        <w:jc w:val="right"/>
        <w:rPr>
          <w:rFonts w:ascii="Arial" w:hAnsi="Arial" w:cs="Arial"/>
          <w:spacing w:val="-3"/>
        </w:rPr>
      </w:pPr>
      <w:r>
        <w:rPr>
          <w:rFonts w:ascii="Arial" w:hAnsi="Arial" w:cs="Arial"/>
          <w:spacing w:val="-3"/>
        </w:rPr>
        <w:t>Nicholas Grundy KC and Sean Pettit</w:t>
      </w:r>
    </w:p>
    <w:p w14:paraId="0E765533" w14:textId="04A0B579" w:rsidR="000A012B" w:rsidRPr="000A012B" w:rsidRDefault="000A012B" w:rsidP="000A012B">
      <w:pPr>
        <w:jc w:val="right"/>
        <w:rPr>
          <w:rFonts w:ascii="Arial" w:hAnsi="Arial" w:cs="Arial"/>
        </w:rPr>
      </w:pPr>
      <w:r>
        <w:rPr>
          <w:rFonts w:ascii="Arial" w:hAnsi="Arial" w:cs="Arial"/>
          <w:spacing w:val="-3"/>
        </w:rPr>
        <w:t>Fi</w:t>
      </w:r>
      <w:r w:rsidRPr="000A012B">
        <w:rPr>
          <w:rFonts w:ascii="Arial" w:hAnsi="Arial" w:cs="Arial"/>
          <w:color w:val="C00000"/>
          <w:spacing w:val="-3"/>
        </w:rPr>
        <w:t>v</w:t>
      </w:r>
      <w:r>
        <w:rPr>
          <w:rFonts w:ascii="Arial" w:hAnsi="Arial" w:cs="Arial"/>
          <w:spacing w:val="-3"/>
        </w:rPr>
        <w:t>e Paper</w:t>
      </w:r>
    </w:p>
    <w:sectPr w:rsidR="000A012B" w:rsidRPr="000A01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1D92" w14:textId="77777777" w:rsidR="002B18B2" w:rsidRDefault="002B18B2" w:rsidP="002B18B2">
      <w:r>
        <w:separator/>
      </w:r>
    </w:p>
  </w:endnote>
  <w:endnote w:type="continuationSeparator" w:id="0">
    <w:p w14:paraId="5710DE46" w14:textId="77777777" w:rsidR="002B18B2" w:rsidRDefault="002B18B2" w:rsidP="002B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87473"/>
      <w:docPartObj>
        <w:docPartGallery w:val="Page Numbers (Bottom of Page)"/>
        <w:docPartUnique/>
      </w:docPartObj>
    </w:sdtPr>
    <w:sdtEndPr>
      <w:rPr>
        <w:rFonts w:ascii="Arial" w:hAnsi="Arial" w:cs="Arial"/>
        <w:noProof/>
      </w:rPr>
    </w:sdtEndPr>
    <w:sdtContent>
      <w:p w14:paraId="4A14913D" w14:textId="1488ACAC" w:rsidR="002B18B2" w:rsidRPr="002B18B2" w:rsidRDefault="002B18B2">
        <w:pPr>
          <w:pStyle w:val="Footer"/>
          <w:jc w:val="center"/>
          <w:rPr>
            <w:rFonts w:ascii="Arial" w:hAnsi="Arial" w:cs="Arial"/>
          </w:rPr>
        </w:pPr>
        <w:r w:rsidRPr="002B18B2">
          <w:rPr>
            <w:rFonts w:ascii="Arial" w:hAnsi="Arial" w:cs="Arial"/>
          </w:rPr>
          <w:fldChar w:fldCharType="begin"/>
        </w:r>
        <w:r w:rsidRPr="002B18B2">
          <w:rPr>
            <w:rFonts w:ascii="Arial" w:hAnsi="Arial" w:cs="Arial"/>
          </w:rPr>
          <w:instrText xml:space="preserve"> PAGE   \* MERGEFORMAT </w:instrText>
        </w:r>
        <w:r w:rsidRPr="002B18B2">
          <w:rPr>
            <w:rFonts w:ascii="Arial" w:hAnsi="Arial" w:cs="Arial"/>
          </w:rPr>
          <w:fldChar w:fldCharType="separate"/>
        </w:r>
        <w:r w:rsidRPr="002B18B2">
          <w:rPr>
            <w:rFonts w:ascii="Arial" w:hAnsi="Arial" w:cs="Arial"/>
            <w:noProof/>
          </w:rPr>
          <w:t>2</w:t>
        </w:r>
        <w:r w:rsidRPr="002B18B2">
          <w:rPr>
            <w:rFonts w:ascii="Arial" w:hAnsi="Arial" w:cs="Arial"/>
            <w:noProof/>
          </w:rPr>
          <w:fldChar w:fldCharType="end"/>
        </w:r>
      </w:p>
    </w:sdtContent>
  </w:sdt>
  <w:p w14:paraId="3663DD61" w14:textId="77777777" w:rsidR="002B18B2" w:rsidRDefault="002B1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A79D" w14:textId="77777777" w:rsidR="002B18B2" w:rsidRDefault="002B18B2" w:rsidP="002B18B2">
      <w:r>
        <w:separator/>
      </w:r>
    </w:p>
  </w:footnote>
  <w:footnote w:type="continuationSeparator" w:id="0">
    <w:p w14:paraId="7F4E82CF" w14:textId="77777777" w:rsidR="002B18B2" w:rsidRDefault="002B18B2" w:rsidP="002B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50AA"/>
    <w:multiLevelType w:val="hybridMultilevel"/>
    <w:tmpl w:val="23945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5237D3"/>
    <w:multiLevelType w:val="hybridMultilevel"/>
    <w:tmpl w:val="89B8EE68"/>
    <w:lvl w:ilvl="0" w:tplc="0DD299BE">
      <w:start w:val="2"/>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794449388">
    <w:abstractNumId w:val="1"/>
  </w:num>
  <w:num w:numId="2" w16cid:durableId="746731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12"/>
    <w:rsid w:val="00005A28"/>
    <w:rsid w:val="000A012B"/>
    <w:rsid w:val="001C51A5"/>
    <w:rsid w:val="002B18B2"/>
    <w:rsid w:val="002B3D36"/>
    <w:rsid w:val="002F4466"/>
    <w:rsid w:val="00306405"/>
    <w:rsid w:val="003C6623"/>
    <w:rsid w:val="004D7D12"/>
    <w:rsid w:val="00624AF0"/>
    <w:rsid w:val="006B7896"/>
    <w:rsid w:val="006E19A6"/>
    <w:rsid w:val="008D60AE"/>
    <w:rsid w:val="00A51AC6"/>
    <w:rsid w:val="00BF0EA9"/>
    <w:rsid w:val="00C04F1F"/>
    <w:rsid w:val="00DE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D7D0"/>
  <w15:chartTrackingRefBased/>
  <w15:docId w15:val="{A5CEC83D-4DA6-4F7E-92C9-EB3802BE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12"/>
    <w:pPr>
      <w:ind w:left="720"/>
      <w:contextualSpacing/>
    </w:pPr>
  </w:style>
  <w:style w:type="paragraph" w:styleId="Revision">
    <w:name w:val="Revision"/>
    <w:hidden/>
    <w:uiPriority w:val="99"/>
    <w:semiHidden/>
    <w:rsid w:val="00C04F1F"/>
    <w:pPr>
      <w:jc w:val="left"/>
    </w:pPr>
  </w:style>
  <w:style w:type="paragraph" w:styleId="Header">
    <w:name w:val="header"/>
    <w:basedOn w:val="Normal"/>
    <w:link w:val="HeaderChar"/>
    <w:uiPriority w:val="99"/>
    <w:unhideWhenUsed/>
    <w:rsid w:val="002B18B2"/>
    <w:pPr>
      <w:tabs>
        <w:tab w:val="center" w:pos="4513"/>
        <w:tab w:val="right" w:pos="9026"/>
      </w:tabs>
    </w:pPr>
  </w:style>
  <w:style w:type="character" w:customStyle="1" w:styleId="HeaderChar">
    <w:name w:val="Header Char"/>
    <w:basedOn w:val="DefaultParagraphFont"/>
    <w:link w:val="Header"/>
    <w:uiPriority w:val="99"/>
    <w:rsid w:val="002B18B2"/>
  </w:style>
  <w:style w:type="paragraph" w:styleId="Footer">
    <w:name w:val="footer"/>
    <w:basedOn w:val="Normal"/>
    <w:link w:val="FooterChar"/>
    <w:uiPriority w:val="99"/>
    <w:unhideWhenUsed/>
    <w:rsid w:val="002B18B2"/>
    <w:pPr>
      <w:tabs>
        <w:tab w:val="center" w:pos="4513"/>
        <w:tab w:val="right" w:pos="9026"/>
      </w:tabs>
    </w:pPr>
  </w:style>
  <w:style w:type="character" w:customStyle="1" w:styleId="FooterChar">
    <w:name w:val="Footer Char"/>
    <w:basedOn w:val="DefaultParagraphFont"/>
    <w:link w:val="Footer"/>
    <w:uiPriority w:val="99"/>
    <w:rsid w:val="002B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Grundy KC</dc:creator>
  <cp:keywords/>
  <dc:description/>
  <cp:lastModifiedBy>Nicholas Grundy KC</cp:lastModifiedBy>
  <cp:revision>2</cp:revision>
  <dcterms:created xsi:type="dcterms:W3CDTF">2022-10-26T15:15:00Z</dcterms:created>
  <dcterms:modified xsi:type="dcterms:W3CDTF">2022-10-26T15:15:00Z</dcterms:modified>
</cp:coreProperties>
</file>