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0E3726" w:rsidRPr="000E3726" w:rsidTr="000E3726">
        <w:trPr>
          <w:tblCellSpacing w:w="0" w:type="dxa"/>
        </w:trPr>
        <w:tc>
          <w:tcPr>
            <w:tcW w:w="0" w:type="auto"/>
            <w:shd w:val="clear" w:color="auto" w:fill="FFFFFF"/>
            <w:vAlign w:val="center"/>
            <w:hideMark/>
          </w:tcPr>
          <w:tbl>
            <w:tblPr>
              <w:tblW w:w="9300" w:type="dxa"/>
              <w:jc w:val="center"/>
              <w:tblCellSpacing w:w="0" w:type="dxa"/>
              <w:tblCellMar>
                <w:left w:w="0" w:type="dxa"/>
                <w:right w:w="0" w:type="dxa"/>
              </w:tblCellMar>
              <w:tblLook w:val="04A0" w:firstRow="1" w:lastRow="0" w:firstColumn="1" w:lastColumn="0" w:noHBand="0" w:noVBand="1"/>
            </w:tblPr>
            <w:tblGrid>
              <w:gridCol w:w="75"/>
              <w:gridCol w:w="9150"/>
              <w:gridCol w:w="75"/>
            </w:tblGrid>
            <w:tr w:rsidR="000E3726" w:rsidRPr="000E3726" w:rsidTr="000E3726">
              <w:trPr>
                <w:tblCellSpacing w:w="0" w:type="dxa"/>
                <w:jc w:val="center"/>
              </w:trPr>
              <w:tc>
                <w:tcPr>
                  <w:tcW w:w="0" w:type="auto"/>
                  <w:vAlign w:val="center"/>
                  <w:hideMark/>
                </w:tcPr>
                <w:p w:rsidR="000E3726" w:rsidRPr="000E3726" w:rsidRDefault="000E3726" w:rsidP="000E3726">
                  <w:pPr>
                    <w:spacing w:after="0" w:line="240" w:lineRule="auto"/>
                    <w:rPr>
                      <w:rFonts w:ascii="Helvetica" w:eastAsia="Times New Roman" w:hAnsi="Helvetica" w:cs="Helvetica"/>
                      <w:sz w:val="24"/>
                      <w:szCs w:val="24"/>
                      <w:lang w:eastAsia="en-GB"/>
                    </w:rPr>
                  </w:pPr>
                </w:p>
              </w:tc>
              <w:tc>
                <w:tcPr>
                  <w:tcW w:w="0" w:type="auto"/>
                  <w:vAlign w:val="center"/>
                </w:tcPr>
                <w:p w:rsidR="000E3726" w:rsidRPr="000E3726" w:rsidRDefault="000E3726" w:rsidP="000E3726">
                  <w:pPr>
                    <w:spacing w:after="0" w:line="240" w:lineRule="auto"/>
                    <w:rPr>
                      <w:rFonts w:ascii="Helvetica" w:eastAsia="Times New Roman" w:hAnsi="Helvetica" w:cs="Helvetica"/>
                      <w:sz w:val="24"/>
                      <w:szCs w:val="24"/>
                      <w:lang w:eastAsia="en-GB"/>
                    </w:rPr>
                  </w:pPr>
                </w:p>
              </w:tc>
              <w:tc>
                <w:tcPr>
                  <w:tcW w:w="0" w:type="auto"/>
                  <w:vAlign w:val="center"/>
                  <w:hideMark/>
                </w:tcPr>
                <w:p w:rsidR="000E3726" w:rsidRPr="000E3726" w:rsidRDefault="000E3726" w:rsidP="000E3726">
                  <w:pPr>
                    <w:spacing w:after="0" w:line="240" w:lineRule="auto"/>
                    <w:rPr>
                      <w:rFonts w:ascii="Helvetica" w:eastAsia="Times New Roman" w:hAnsi="Helvetica" w:cs="Helvetica"/>
                      <w:sz w:val="24"/>
                      <w:szCs w:val="24"/>
                      <w:lang w:eastAsia="en-GB"/>
                    </w:rPr>
                  </w:pPr>
                  <w:r w:rsidRPr="000E3726">
                    <w:rPr>
                      <w:rFonts w:ascii="Helvetica" w:eastAsia="Times New Roman" w:hAnsi="Helvetica" w:cs="Helvetica"/>
                      <w:sz w:val="24"/>
                      <w:szCs w:val="24"/>
                      <w:lang w:eastAsia="en-GB"/>
                    </w:rPr>
                    <w:t> </w:t>
                  </w:r>
                </w:p>
              </w:tc>
            </w:tr>
            <w:tr w:rsidR="000E3726" w:rsidRPr="000E3726">
              <w:trPr>
                <w:tblCellSpacing w:w="0" w:type="dxa"/>
                <w:jc w:val="center"/>
              </w:trPr>
              <w:tc>
                <w:tcPr>
                  <w:tcW w:w="0" w:type="auto"/>
                  <w:vAlign w:val="center"/>
                  <w:hideMark/>
                </w:tcPr>
                <w:p w:rsidR="000E3726" w:rsidRPr="000E3726" w:rsidRDefault="000E3726" w:rsidP="000E3726">
                  <w:pPr>
                    <w:spacing w:after="0" w:line="240" w:lineRule="auto"/>
                    <w:rPr>
                      <w:rFonts w:ascii="Helvetica" w:eastAsia="Times New Roman" w:hAnsi="Helvetica" w:cs="Helvetica"/>
                      <w:sz w:val="24"/>
                      <w:szCs w:val="24"/>
                      <w:lang w:eastAsia="en-GB"/>
                    </w:rPr>
                  </w:pPr>
                  <w:r w:rsidRPr="000E3726">
                    <w:rPr>
                      <w:rFonts w:ascii="Helvetica" w:eastAsia="Times New Roman" w:hAnsi="Helvetica" w:cs="Helvetica"/>
                      <w:sz w:val="24"/>
                      <w:szCs w:val="24"/>
                      <w:lang w:eastAsia="en-GB"/>
                    </w:rPr>
                    <w:t> </w:t>
                  </w:r>
                </w:p>
              </w:tc>
              <w:tc>
                <w:tcPr>
                  <w:tcW w:w="9150" w:type="dxa"/>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25"/>
                    <w:gridCol w:w="8700"/>
                    <w:gridCol w:w="67"/>
                  </w:tblGrid>
                  <w:tr w:rsidR="000E3726" w:rsidRPr="000E3726" w:rsidTr="000E3726">
                    <w:trPr>
                      <w:tblCellSpacing w:w="0" w:type="dxa"/>
                      <w:jc w:val="center"/>
                    </w:trPr>
                    <w:tc>
                      <w:tcPr>
                        <w:tcW w:w="0" w:type="auto"/>
                        <w:vAlign w:val="center"/>
                        <w:hideMark/>
                      </w:tcPr>
                      <w:p w:rsidR="000E3726" w:rsidRPr="000E3726" w:rsidRDefault="000E3726" w:rsidP="000E3726">
                        <w:pPr>
                          <w:spacing w:after="0" w:line="240" w:lineRule="auto"/>
                          <w:rPr>
                            <w:rFonts w:ascii="Helvetica" w:eastAsia="Times New Roman" w:hAnsi="Helvetica" w:cs="Helvetica"/>
                            <w:sz w:val="24"/>
                            <w:szCs w:val="24"/>
                            <w:lang w:eastAsia="en-GB"/>
                          </w:rPr>
                        </w:pPr>
                        <w:r w:rsidRPr="000E3726">
                          <w:rPr>
                            <w:rFonts w:ascii="Helvetica" w:eastAsia="Times New Roman" w:hAnsi="Helvetica" w:cs="Helvetica"/>
                            <w:sz w:val="24"/>
                            <w:szCs w:val="24"/>
                            <w:lang w:eastAsia="en-GB"/>
                          </w:rPr>
                          <w:t> </w:t>
                        </w:r>
                      </w:p>
                    </w:tc>
                    <w:tc>
                      <w:tcPr>
                        <w:tcW w:w="0" w:type="auto"/>
                        <w:vAlign w:val="center"/>
                        <w:hideMark/>
                      </w:tcPr>
                      <w:p w:rsidR="000E3726" w:rsidRPr="000E3726" w:rsidRDefault="000E3726" w:rsidP="000E3726">
                        <w:pPr>
                          <w:spacing w:after="0" w:line="240" w:lineRule="auto"/>
                          <w:rPr>
                            <w:rFonts w:ascii="Helvetica" w:eastAsia="Times New Roman" w:hAnsi="Helvetica" w:cs="Helvetica"/>
                            <w:sz w:val="24"/>
                            <w:szCs w:val="24"/>
                            <w:lang w:eastAsia="en-GB"/>
                          </w:rPr>
                        </w:pPr>
                        <w:r w:rsidRPr="000E3726">
                          <w:rPr>
                            <w:rFonts w:ascii="Helvetica" w:eastAsia="Times New Roman" w:hAnsi="Helvetica" w:cs="Helvetica"/>
                            <w:sz w:val="24"/>
                            <w:szCs w:val="24"/>
                            <w:lang w:eastAsia="en-GB"/>
                          </w:rPr>
                          <w:t> </w:t>
                        </w:r>
                      </w:p>
                    </w:tc>
                    <w:tc>
                      <w:tcPr>
                        <w:tcW w:w="0" w:type="auto"/>
                        <w:vAlign w:val="center"/>
                        <w:hideMark/>
                      </w:tcPr>
                      <w:p w:rsidR="000E3726" w:rsidRPr="000E3726" w:rsidRDefault="000E3726" w:rsidP="000E3726">
                        <w:pPr>
                          <w:spacing w:after="0" w:line="240" w:lineRule="auto"/>
                          <w:rPr>
                            <w:rFonts w:ascii="Helvetica" w:eastAsia="Times New Roman" w:hAnsi="Helvetica" w:cs="Helvetica"/>
                            <w:sz w:val="24"/>
                            <w:szCs w:val="24"/>
                            <w:lang w:eastAsia="en-GB"/>
                          </w:rPr>
                        </w:pPr>
                        <w:r w:rsidRPr="000E3726">
                          <w:rPr>
                            <w:rFonts w:ascii="Helvetica" w:eastAsia="Times New Roman" w:hAnsi="Helvetica" w:cs="Helvetica"/>
                            <w:sz w:val="24"/>
                            <w:szCs w:val="24"/>
                            <w:lang w:eastAsia="en-GB"/>
                          </w:rPr>
                          <w:t> </w:t>
                        </w:r>
                      </w:p>
                    </w:tc>
                  </w:tr>
                  <w:tr w:rsidR="000E3726" w:rsidRPr="000E3726" w:rsidTr="000E3726">
                    <w:trPr>
                      <w:tblCellSpacing w:w="0" w:type="dxa"/>
                      <w:jc w:val="center"/>
                    </w:trPr>
                    <w:tc>
                      <w:tcPr>
                        <w:tcW w:w="225" w:type="dxa"/>
                        <w:vAlign w:val="center"/>
                        <w:hideMark/>
                      </w:tcPr>
                      <w:p w:rsidR="000E3726" w:rsidRPr="000E3726" w:rsidRDefault="000E3726" w:rsidP="000E3726">
                        <w:pPr>
                          <w:spacing w:after="0" w:line="240" w:lineRule="auto"/>
                          <w:rPr>
                            <w:rFonts w:ascii="Helvetica" w:eastAsia="Times New Roman" w:hAnsi="Helvetica" w:cs="Helvetica"/>
                            <w:sz w:val="24"/>
                            <w:szCs w:val="24"/>
                            <w:lang w:eastAsia="en-GB"/>
                          </w:rPr>
                        </w:pPr>
                        <w:r w:rsidRPr="000E3726">
                          <w:rPr>
                            <w:rFonts w:ascii="Helvetica" w:eastAsia="Times New Roman" w:hAnsi="Helvetica" w:cs="Helvetica"/>
                            <w:sz w:val="24"/>
                            <w:szCs w:val="24"/>
                            <w:lang w:eastAsia="en-GB"/>
                          </w:rPr>
                          <w:t> </w:t>
                        </w:r>
                      </w:p>
                    </w:tc>
                    <w:tc>
                      <w:tcPr>
                        <w:tcW w:w="8700" w:type="dxa"/>
                        <w:vAlign w:val="center"/>
                        <w:hideMark/>
                      </w:tcPr>
                      <w:tbl>
                        <w:tblPr>
                          <w:tblW w:w="8700" w:type="dxa"/>
                          <w:tblCellSpacing w:w="0" w:type="dxa"/>
                          <w:tblBorders>
                            <w:top w:val="single" w:sz="6" w:space="0" w:color="999999"/>
                            <w:bottom w:val="single" w:sz="6" w:space="0" w:color="999999"/>
                          </w:tblBorders>
                          <w:shd w:val="clear" w:color="auto" w:fill="FFFFFF"/>
                          <w:tblCellMar>
                            <w:left w:w="0" w:type="dxa"/>
                            <w:right w:w="0" w:type="dxa"/>
                          </w:tblCellMar>
                          <w:tblLook w:val="04A0" w:firstRow="1" w:lastRow="0" w:firstColumn="1" w:lastColumn="0" w:noHBand="0" w:noVBand="1"/>
                        </w:tblPr>
                        <w:tblGrid>
                          <w:gridCol w:w="225"/>
                          <w:gridCol w:w="8250"/>
                          <w:gridCol w:w="225"/>
                        </w:tblGrid>
                        <w:tr w:rsidR="000E3726" w:rsidRPr="000E3726" w:rsidTr="000E3726">
                          <w:trPr>
                            <w:trHeight w:val="113"/>
                            <w:tblCellSpacing w:w="0" w:type="dxa"/>
                          </w:trPr>
                          <w:tc>
                            <w:tcPr>
                              <w:tcW w:w="0" w:type="auto"/>
                              <w:gridSpan w:val="3"/>
                              <w:shd w:val="clear" w:color="auto" w:fill="FFFFFF"/>
                              <w:vAlign w:val="center"/>
                              <w:hideMark/>
                            </w:tcPr>
                            <w:p w:rsidR="000E3726" w:rsidRPr="000E3726" w:rsidRDefault="000E3726" w:rsidP="000E3726">
                              <w:pPr>
                                <w:spacing w:after="0" w:line="240" w:lineRule="auto"/>
                                <w:rPr>
                                  <w:rFonts w:ascii="Helvetica" w:eastAsia="Times New Roman" w:hAnsi="Helvetica" w:cs="Helvetica"/>
                                  <w:sz w:val="24"/>
                                  <w:szCs w:val="24"/>
                                  <w:lang w:eastAsia="en-GB"/>
                                </w:rPr>
                              </w:pPr>
                              <w:r w:rsidRPr="000E3726">
                                <w:rPr>
                                  <w:rFonts w:ascii="Helvetica" w:eastAsia="Times New Roman" w:hAnsi="Helvetica" w:cs="Helvetica"/>
                                  <w:sz w:val="18"/>
                                  <w:szCs w:val="18"/>
                                  <w:lang w:eastAsia="en-GB"/>
                                </w:rPr>
                                <w:t> </w:t>
                              </w:r>
                            </w:p>
                          </w:tc>
                        </w:tr>
                        <w:tr w:rsidR="000E3726" w:rsidRPr="000E3726" w:rsidTr="000E3726">
                          <w:trPr>
                            <w:tblCellSpacing w:w="0" w:type="dxa"/>
                          </w:trPr>
                          <w:tc>
                            <w:tcPr>
                              <w:tcW w:w="225" w:type="dxa"/>
                              <w:shd w:val="clear" w:color="auto" w:fill="FFFFFF"/>
                              <w:vAlign w:val="center"/>
                              <w:hideMark/>
                            </w:tcPr>
                            <w:p w:rsidR="000E3726" w:rsidRPr="000E3726" w:rsidRDefault="000E3726" w:rsidP="000E3726">
                              <w:pPr>
                                <w:spacing w:after="0" w:line="240" w:lineRule="auto"/>
                                <w:rPr>
                                  <w:rFonts w:ascii="Helvetica" w:eastAsia="Times New Roman" w:hAnsi="Helvetica" w:cs="Helvetica"/>
                                  <w:sz w:val="24"/>
                                  <w:szCs w:val="24"/>
                                  <w:lang w:eastAsia="en-GB"/>
                                </w:rPr>
                              </w:pPr>
                              <w:r w:rsidRPr="000E3726">
                                <w:rPr>
                                  <w:rFonts w:ascii="Helvetica" w:eastAsia="Times New Roman" w:hAnsi="Helvetica" w:cs="Helvetica"/>
                                  <w:sz w:val="24"/>
                                  <w:szCs w:val="24"/>
                                  <w:lang w:eastAsia="en-GB"/>
                                </w:rPr>
                                <w:t> </w:t>
                              </w:r>
                            </w:p>
                          </w:tc>
                          <w:tc>
                            <w:tcPr>
                              <w:tcW w:w="0" w:type="auto"/>
                              <w:shd w:val="clear" w:color="auto" w:fill="FFFFFF"/>
                              <w:hideMark/>
                            </w:tcPr>
                            <w:p w:rsidR="000E3726" w:rsidRPr="000E3726" w:rsidRDefault="000E3726" w:rsidP="000E3726">
                              <w:pPr>
                                <w:spacing w:after="0" w:line="450" w:lineRule="atLeast"/>
                                <w:jc w:val="center"/>
                                <w:outlineLvl w:val="1"/>
                                <w:rPr>
                                  <w:rFonts w:ascii="Georgia" w:eastAsia="Times New Roman" w:hAnsi="Georgia" w:cs="Calibri"/>
                                  <w:color w:val="3A3A3A"/>
                                  <w:sz w:val="45"/>
                                  <w:szCs w:val="45"/>
                                  <w:lang w:eastAsia="en-GB"/>
                                </w:rPr>
                              </w:pPr>
                              <w:r w:rsidRPr="000E3726">
                                <w:rPr>
                                  <w:rFonts w:ascii="Georgia" w:eastAsia="Times New Roman" w:hAnsi="Georgia" w:cs="Calibri"/>
                                  <w:color w:val="3A3A3A"/>
                                  <w:sz w:val="45"/>
                                  <w:szCs w:val="45"/>
                                  <w:lang w:eastAsia="en-GB"/>
                                </w:rPr>
                                <w:t>Important developments in the employment field</w:t>
                              </w:r>
                            </w:p>
                          </w:tc>
                          <w:tc>
                            <w:tcPr>
                              <w:tcW w:w="225" w:type="dxa"/>
                              <w:shd w:val="clear" w:color="auto" w:fill="FFFFFF"/>
                              <w:vAlign w:val="center"/>
                              <w:hideMark/>
                            </w:tcPr>
                            <w:p w:rsidR="000E3726" w:rsidRPr="000E3726" w:rsidRDefault="000E3726" w:rsidP="000E3726">
                              <w:pPr>
                                <w:spacing w:after="0" w:line="240" w:lineRule="auto"/>
                                <w:rPr>
                                  <w:rFonts w:ascii="Helvetica" w:eastAsia="Times New Roman" w:hAnsi="Helvetica" w:cs="Helvetica"/>
                                  <w:sz w:val="24"/>
                                  <w:szCs w:val="24"/>
                                  <w:lang w:eastAsia="en-GB"/>
                                </w:rPr>
                              </w:pPr>
                              <w:r w:rsidRPr="000E3726">
                                <w:rPr>
                                  <w:rFonts w:ascii="Helvetica" w:eastAsia="Times New Roman" w:hAnsi="Helvetica" w:cs="Helvetica"/>
                                  <w:sz w:val="24"/>
                                  <w:szCs w:val="24"/>
                                  <w:lang w:eastAsia="en-GB"/>
                                </w:rPr>
                                <w:t> </w:t>
                              </w:r>
                            </w:p>
                          </w:tc>
                        </w:tr>
                        <w:tr w:rsidR="000E3726" w:rsidRPr="000E3726" w:rsidTr="000E3726">
                          <w:trPr>
                            <w:trHeight w:val="75"/>
                            <w:tblCellSpacing w:w="0" w:type="dxa"/>
                          </w:trPr>
                          <w:tc>
                            <w:tcPr>
                              <w:tcW w:w="0" w:type="auto"/>
                              <w:gridSpan w:val="3"/>
                              <w:shd w:val="clear" w:color="auto" w:fill="FFFFFF"/>
                              <w:vAlign w:val="center"/>
                              <w:hideMark/>
                            </w:tcPr>
                            <w:p w:rsidR="000E3726" w:rsidRPr="000E3726" w:rsidRDefault="000E3726" w:rsidP="000E3726">
                              <w:pPr>
                                <w:spacing w:after="0" w:line="240" w:lineRule="auto"/>
                                <w:rPr>
                                  <w:rFonts w:ascii="Helvetica" w:eastAsia="Times New Roman" w:hAnsi="Helvetica" w:cs="Helvetica"/>
                                  <w:sz w:val="24"/>
                                  <w:szCs w:val="24"/>
                                  <w:lang w:eastAsia="en-GB"/>
                                </w:rPr>
                              </w:pPr>
                              <w:r w:rsidRPr="000E3726">
                                <w:rPr>
                                  <w:rFonts w:ascii="Helvetica" w:eastAsia="Times New Roman" w:hAnsi="Helvetica" w:cs="Helvetica"/>
                                  <w:sz w:val="12"/>
                                  <w:szCs w:val="12"/>
                                  <w:lang w:eastAsia="en-GB"/>
                                </w:rPr>
                                <w:t> </w:t>
                              </w:r>
                            </w:p>
                          </w:tc>
                        </w:tr>
                        <w:tr w:rsidR="000E3726" w:rsidRPr="000E3726" w:rsidTr="000E3726">
                          <w:trPr>
                            <w:tblCellSpacing w:w="0" w:type="dxa"/>
                          </w:trPr>
                          <w:tc>
                            <w:tcPr>
                              <w:tcW w:w="225" w:type="dxa"/>
                              <w:shd w:val="clear" w:color="auto" w:fill="FFFFFF"/>
                              <w:vAlign w:val="center"/>
                              <w:hideMark/>
                            </w:tcPr>
                            <w:p w:rsidR="000E3726" w:rsidRPr="000E3726" w:rsidRDefault="000E3726" w:rsidP="000E3726">
                              <w:pPr>
                                <w:spacing w:after="0" w:line="240" w:lineRule="auto"/>
                                <w:rPr>
                                  <w:rFonts w:ascii="Helvetica" w:eastAsia="Times New Roman" w:hAnsi="Helvetica" w:cs="Helvetica"/>
                                  <w:sz w:val="24"/>
                                  <w:szCs w:val="24"/>
                                  <w:lang w:eastAsia="en-GB"/>
                                </w:rPr>
                              </w:pPr>
                              <w:r w:rsidRPr="000E3726">
                                <w:rPr>
                                  <w:rFonts w:ascii="Helvetica" w:eastAsia="Times New Roman" w:hAnsi="Helvetica" w:cs="Helvetica"/>
                                  <w:sz w:val="24"/>
                                  <w:szCs w:val="24"/>
                                  <w:lang w:eastAsia="en-GB"/>
                                </w:rPr>
                                <w:t> </w:t>
                              </w:r>
                            </w:p>
                          </w:tc>
                          <w:tc>
                            <w:tcPr>
                              <w:tcW w:w="0" w:type="auto"/>
                              <w:shd w:val="clear" w:color="auto" w:fill="FFFFFF"/>
                              <w:hideMark/>
                            </w:tcPr>
                            <w:p w:rsidR="000E3726" w:rsidRPr="000E3726" w:rsidRDefault="000E3726" w:rsidP="000E3726">
                              <w:pPr>
                                <w:spacing w:after="0" w:line="360" w:lineRule="atLeast"/>
                                <w:jc w:val="center"/>
                                <w:rPr>
                                  <w:rFonts w:ascii="Helvetica" w:eastAsia="Times New Roman" w:hAnsi="Helvetica" w:cs="Helvetica"/>
                                  <w:sz w:val="24"/>
                                  <w:szCs w:val="24"/>
                                  <w:lang w:eastAsia="en-GB"/>
                                </w:rPr>
                              </w:pPr>
                              <w:r w:rsidRPr="000E3726">
                                <w:rPr>
                                  <w:rFonts w:ascii="Georgia" w:eastAsia="Times New Roman" w:hAnsi="Georgia" w:cs="Helvetica"/>
                                  <w:i/>
                                  <w:iCs/>
                                  <w:color w:val="666666"/>
                                  <w:sz w:val="23"/>
                                  <w:szCs w:val="23"/>
                                  <w:lang w:eastAsia="en-GB"/>
                                </w:rPr>
                                <w:t>25 September 2018</w:t>
                              </w:r>
                            </w:p>
                          </w:tc>
                          <w:tc>
                            <w:tcPr>
                              <w:tcW w:w="225" w:type="dxa"/>
                              <w:shd w:val="clear" w:color="auto" w:fill="FFFFFF"/>
                              <w:vAlign w:val="center"/>
                              <w:hideMark/>
                            </w:tcPr>
                            <w:p w:rsidR="000E3726" w:rsidRPr="000E3726" w:rsidRDefault="000E3726" w:rsidP="000E3726">
                              <w:pPr>
                                <w:spacing w:after="0" w:line="240" w:lineRule="auto"/>
                                <w:rPr>
                                  <w:rFonts w:ascii="Helvetica" w:eastAsia="Times New Roman" w:hAnsi="Helvetica" w:cs="Helvetica"/>
                                  <w:sz w:val="24"/>
                                  <w:szCs w:val="24"/>
                                  <w:lang w:eastAsia="en-GB"/>
                                </w:rPr>
                              </w:pPr>
                              <w:r w:rsidRPr="000E3726">
                                <w:rPr>
                                  <w:rFonts w:ascii="Helvetica" w:eastAsia="Times New Roman" w:hAnsi="Helvetica" w:cs="Helvetica"/>
                                  <w:sz w:val="24"/>
                                  <w:szCs w:val="24"/>
                                  <w:lang w:eastAsia="en-GB"/>
                                </w:rPr>
                                <w:t> </w:t>
                              </w:r>
                            </w:p>
                          </w:tc>
                        </w:tr>
                        <w:tr w:rsidR="000E3726" w:rsidRPr="000E3726" w:rsidTr="000E3726">
                          <w:trPr>
                            <w:tblCellSpacing w:w="0" w:type="dxa"/>
                          </w:trPr>
                          <w:tc>
                            <w:tcPr>
                              <w:tcW w:w="0" w:type="auto"/>
                              <w:gridSpan w:val="3"/>
                              <w:shd w:val="clear" w:color="auto" w:fill="FFFFFF"/>
                              <w:hideMark/>
                            </w:tcPr>
                            <w:p w:rsidR="000E3726" w:rsidRPr="000E3726" w:rsidRDefault="000E3726" w:rsidP="000E3726">
                              <w:pPr>
                                <w:spacing w:after="0" w:line="240" w:lineRule="auto"/>
                                <w:rPr>
                                  <w:rFonts w:ascii="Helvetica" w:eastAsia="Times New Roman" w:hAnsi="Helvetica" w:cs="Helvetica"/>
                                  <w:sz w:val="24"/>
                                  <w:szCs w:val="24"/>
                                  <w:lang w:eastAsia="en-GB"/>
                                </w:rPr>
                              </w:pPr>
                              <w:r w:rsidRPr="000E3726">
                                <w:rPr>
                                  <w:rFonts w:ascii="Helvetica" w:eastAsia="Times New Roman" w:hAnsi="Helvetica" w:cs="Helvetica"/>
                                  <w:sz w:val="21"/>
                                  <w:szCs w:val="21"/>
                                  <w:lang w:eastAsia="en-GB"/>
                                </w:rPr>
                                <w:t>  </w:t>
                              </w:r>
                            </w:p>
                          </w:tc>
                        </w:tr>
                      </w:tbl>
                      <w:p w:rsidR="000E3726" w:rsidRPr="000E3726" w:rsidRDefault="000E3726" w:rsidP="000E3726">
                        <w:pPr>
                          <w:spacing w:before="100" w:beforeAutospacing="1" w:after="100" w:afterAutospacing="1" w:line="270" w:lineRule="atLeast"/>
                          <w:rPr>
                            <w:rFonts w:ascii="Arial" w:eastAsia="Times New Roman" w:hAnsi="Arial" w:cs="Arial"/>
                            <w:color w:val="333333"/>
                            <w:sz w:val="21"/>
                            <w:szCs w:val="21"/>
                            <w:lang w:eastAsia="en-GB"/>
                          </w:rPr>
                        </w:pPr>
                        <w:r w:rsidRPr="000E3726">
                          <w:rPr>
                            <w:rFonts w:ascii="Arial" w:eastAsia="Times New Roman" w:hAnsi="Arial" w:cs="Arial"/>
                            <w:color w:val="333333"/>
                            <w:sz w:val="21"/>
                            <w:szCs w:val="21"/>
                            <w:lang w:eastAsia="en-GB"/>
                          </w:rPr>
                          <w:t>This is the first edition of an electronic newsletter from the Employment Team at Five Paper. The newsletter will provide our clients with a brief summary of any important court decisions or statutory developments in the employment field. Please feel free to contact us for further information about the summary or to discuss the issues that concern you. The next edition of the newsletter will appear in December 2018 and thereafter on a quarterly basis.</w:t>
                        </w:r>
                        <w:r w:rsidRPr="000E3726">
                          <w:rPr>
                            <w:rFonts w:ascii="Arial" w:eastAsia="Times New Roman" w:hAnsi="Arial" w:cs="Arial"/>
                            <w:color w:val="333333"/>
                            <w:sz w:val="21"/>
                            <w:szCs w:val="21"/>
                            <w:lang w:eastAsia="en-GB"/>
                          </w:rPr>
                          <w:br/>
                        </w:r>
                        <w:r w:rsidRPr="000E3726">
                          <w:rPr>
                            <w:rFonts w:ascii="Arial" w:eastAsia="Times New Roman" w:hAnsi="Arial" w:cs="Arial"/>
                            <w:color w:val="333333"/>
                            <w:sz w:val="21"/>
                            <w:szCs w:val="21"/>
                            <w:lang w:eastAsia="en-GB"/>
                          </w:rPr>
                          <w:br/>
                        </w:r>
                        <w:r w:rsidRPr="000E3726">
                          <w:rPr>
                            <w:rFonts w:ascii="Arial" w:eastAsia="Times New Roman" w:hAnsi="Arial" w:cs="Arial"/>
                            <w:color w:val="333333"/>
                            <w:sz w:val="21"/>
                            <w:szCs w:val="21"/>
                            <w:lang w:eastAsia="en-GB"/>
                          </w:rPr>
                          <w:br/>
                        </w:r>
                        <w:r w:rsidRPr="000E3726">
                          <w:rPr>
                            <w:rFonts w:ascii="Arial" w:eastAsia="Times New Roman" w:hAnsi="Arial" w:cs="Arial"/>
                            <w:color w:val="333333"/>
                            <w:sz w:val="28"/>
                            <w:szCs w:val="28"/>
                            <w:lang w:eastAsia="en-GB"/>
                          </w:rPr>
                          <w:t>Disability discrimination</w:t>
                        </w:r>
                        <w:r w:rsidRPr="000E3726">
                          <w:rPr>
                            <w:rFonts w:ascii="Arial" w:eastAsia="Times New Roman" w:hAnsi="Arial" w:cs="Arial"/>
                            <w:color w:val="333333"/>
                            <w:sz w:val="28"/>
                            <w:szCs w:val="28"/>
                            <w:lang w:eastAsia="en-GB"/>
                          </w:rPr>
                          <w:br/>
                        </w:r>
                        <w:r w:rsidRPr="000E3726">
                          <w:rPr>
                            <w:rFonts w:ascii="Arial" w:eastAsia="Times New Roman" w:hAnsi="Arial" w:cs="Arial"/>
                            <w:color w:val="333333"/>
                            <w:sz w:val="21"/>
                            <w:szCs w:val="21"/>
                            <w:lang w:eastAsia="en-GB"/>
                          </w:rPr>
                          <w:br/>
                        </w:r>
                        <w:r w:rsidRPr="000E3726">
                          <w:rPr>
                            <w:rFonts w:ascii="Arial" w:eastAsia="Times New Roman" w:hAnsi="Arial" w:cs="Arial"/>
                            <w:color w:val="333333"/>
                            <w:sz w:val="21"/>
                            <w:szCs w:val="21"/>
                            <w:lang w:eastAsia="en-GB"/>
                          </w:rPr>
                          <w:br/>
                          <w:t>There are a number of recent decisions, including:</w:t>
                        </w:r>
                        <w:r w:rsidRPr="000E3726">
                          <w:rPr>
                            <w:rFonts w:ascii="Arial" w:eastAsia="Times New Roman" w:hAnsi="Arial" w:cs="Arial"/>
                            <w:color w:val="333333"/>
                            <w:sz w:val="21"/>
                            <w:szCs w:val="21"/>
                            <w:lang w:eastAsia="en-GB"/>
                          </w:rPr>
                          <w:br/>
                        </w:r>
                        <w:r w:rsidRPr="000E3726">
                          <w:rPr>
                            <w:rFonts w:ascii="Arial" w:eastAsia="Times New Roman" w:hAnsi="Arial" w:cs="Arial"/>
                            <w:color w:val="333333"/>
                            <w:sz w:val="21"/>
                            <w:szCs w:val="21"/>
                            <w:lang w:eastAsia="en-GB"/>
                          </w:rPr>
                          <w:br/>
                        </w:r>
                        <w:r w:rsidRPr="000E3726">
                          <w:rPr>
                            <w:rFonts w:ascii="Arial" w:eastAsia="Times New Roman" w:hAnsi="Arial" w:cs="Arial"/>
                            <w:b/>
                            <w:bCs/>
                            <w:i/>
                            <w:iCs/>
                            <w:color w:val="333333"/>
                            <w:sz w:val="21"/>
                            <w:szCs w:val="21"/>
                            <w:lang w:eastAsia="en-GB"/>
                          </w:rPr>
                          <w:t>Dunn v the Secretary of State for Justice</w:t>
                        </w:r>
                        <w:r w:rsidRPr="000E3726">
                          <w:rPr>
                            <w:rFonts w:ascii="Arial" w:eastAsia="Times New Roman" w:hAnsi="Arial" w:cs="Arial"/>
                            <w:color w:val="333333"/>
                            <w:sz w:val="21"/>
                            <w:szCs w:val="21"/>
                            <w:lang w:eastAsia="en-GB"/>
                          </w:rPr>
                          <w:t xml:space="preserve"> [2018] EWCA </w:t>
                        </w:r>
                        <w:proofErr w:type="spellStart"/>
                        <w:r w:rsidRPr="000E3726">
                          <w:rPr>
                            <w:rFonts w:ascii="Arial" w:eastAsia="Times New Roman" w:hAnsi="Arial" w:cs="Arial"/>
                            <w:color w:val="333333"/>
                            <w:sz w:val="21"/>
                            <w:szCs w:val="21"/>
                            <w:lang w:eastAsia="en-GB"/>
                          </w:rPr>
                          <w:t>Civ</w:t>
                        </w:r>
                        <w:proofErr w:type="spellEnd"/>
                        <w:r w:rsidRPr="000E3726">
                          <w:rPr>
                            <w:rFonts w:ascii="Arial" w:eastAsia="Times New Roman" w:hAnsi="Arial" w:cs="Arial"/>
                            <w:color w:val="333333"/>
                            <w:sz w:val="21"/>
                            <w:szCs w:val="21"/>
                            <w:lang w:eastAsia="en-GB"/>
                          </w:rPr>
                          <w:t xml:space="preserve"> 1998 (Judgement delivered on 4 September 2018).</w:t>
                        </w:r>
                        <w:r w:rsidRPr="000E3726">
                          <w:rPr>
                            <w:rFonts w:ascii="Arial" w:eastAsia="Times New Roman" w:hAnsi="Arial" w:cs="Arial"/>
                            <w:color w:val="333333"/>
                            <w:sz w:val="21"/>
                            <w:szCs w:val="21"/>
                            <w:lang w:eastAsia="en-GB"/>
                          </w:rPr>
                          <w:br/>
                        </w:r>
                        <w:r w:rsidRPr="000E3726">
                          <w:rPr>
                            <w:rFonts w:ascii="Arial" w:eastAsia="Times New Roman" w:hAnsi="Arial" w:cs="Arial"/>
                            <w:color w:val="333333"/>
                            <w:sz w:val="21"/>
                            <w:szCs w:val="21"/>
                            <w:lang w:eastAsia="en-GB"/>
                          </w:rPr>
                          <w:br/>
                          <w:t>Significant because it reminds tribunals that a direct discrimination claim involves giving consideration to the motivations of the relevant decision-makers (i.e. whether the fact of the relevant disability operated on their minds so as to cause them to act, or fail to act, in the manner complained of).</w:t>
                        </w:r>
                        <w:r w:rsidRPr="000E3726">
                          <w:rPr>
                            <w:rFonts w:ascii="Arial" w:eastAsia="Times New Roman" w:hAnsi="Arial" w:cs="Arial"/>
                            <w:color w:val="333333"/>
                            <w:sz w:val="21"/>
                            <w:szCs w:val="21"/>
                            <w:lang w:eastAsia="en-GB"/>
                          </w:rPr>
                          <w:br/>
                        </w:r>
                        <w:r w:rsidRPr="000E3726">
                          <w:rPr>
                            <w:rFonts w:ascii="Arial" w:eastAsia="Times New Roman" w:hAnsi="Arial" w:cs="Arial"/>
                            <w:color w:val="333333"/>
                            <w:sz w:val="21"/>
                            <w:szCs w:val="21"/>
                            <w:lang w:eastAsia="en-GB"/>
                          </w:rPr>
                          <w:br/>
                          <w:t>Also important for general guidance on ill health retirement schemes, and as a reminder that incompetent and defective policies are not necessarily discriminatory.</w:t>
                        </w:r>
                      </w:p>
                      <w:p w:rsidR="000E3726" w:rsidRPr="000E3726" w:rsidRDefault="000E3726" w:rsidP="000E3726">
                        <w:pPr>
                          <w:spacing w:before="100" w:beforeAutospacing="1" w:after="240" w:line="270" w:lineRule="atLeast"/>
                          <w:rPr>
                            <w:rFonts w:ascii="Arial" w:eastAsia="Times New Roman" w:hAnsi="Arial" w:cs="Arial"/>
                            <w:color w:val="333333"/>
                            <w:sz w:val="21"/>
                            <w:szCs w:val="21"/>
                            <w:lang w:eastAsia="en-GB"/>
                          </w:rPr>
                        </w:pPr>
                        <w:r w:rsidRPr="000E3726">
                          <w:rPr>
                            <w:rFonts w:ascii="Arial" w:eastAsia="Times New Roman" w:hAnsi="Arial" w:cs="Arial"/>
                            <w:b/>
                            <w:bCs/>
                            <w:i/>
                            <w:iCs/>
                            <w:color w:val="333333"/>
                            <w:sz w:val="21"/>
                            <w:szCs w:val="21"/>
                            <w:lang w:eastAsia="en-GB"/>
                          </w:rPr>
                          <w:t>X v Y Limited </w:t>
                        </w:r>
                        <w:r w:rsidRPr="000E3726">
                          <w:rPr>
                            <w:rFonts w:ascii="Arial" w:eastAsia="Times New Roman" w:hAnsi="Arial" w:cs="Arial"/>
                            <w:color w:val="333333"/>
                            <w:sz w:val="21"/>
                            <w:szCs w:val="21"/>
                            <w:lang w:eastAsia="en-GB"/>
                          </w:rPr>
                          <w:t>(UKEAT/0261/17 - Judgement delivered on 9 August 2018).</w:t>
                        </w:r>
                        <w:r w:rsidRPr="000E3726">
                          <w:rPr>
                            <w:rFonts w:ascii="Arial" w:eastAsia="Times New Roman" w:hAnsi="Arial" w:cs="Arial"/>
                            <w:color w:val="333333"/>
                            <w:sz w:val="21"/>
                            <w:szCs w:val="21"/>
                            <w:lang w:eastAsia="en-GB"/>
                          </w:rPr>
                          <w:br/>
                        </w:r>
                        <w:r w:rsidRPr="000E3726">
                          <w:rPr>
                            <w:rFonts w:ascii="Arial" w:eastAsia="Times New Roman" w:hAnsi="Arial" w:cs="Arial"/>
                            <w:color w:val="333333"/>
                            <w:sz w:val="21"/>
                            <w:szCs w:val="21"/>
                            <w:lang w:eastAsia="en-GB"/>
                          </w:rPr>
                          <w:br/>
                          <w:t>Significant because it shows that not all emails from lawyers are privileged and because it shows that employers take a big risk if they try to disguise or spin the reasons for a dismissal. Privilege cannot be claimed if advice is given for the purpose of facilitating an iniquity. Giving advice on how to cloak what would otherwise be a disability discrimination dismissal as a dismissal for redundancy is capable of facilitating an iniquity.</w:t>
                        </w:r>
                        <w:r w:rsidRPr="000E3726">
                          <w:rPr>
                            <w:rFonts w:ascii="Arial" w:eastAsia="Times New Roman" w:hAnsi="Arial" w:cs="Arial"/>
                            <w:color w:val="333333"/>
                            <w:sz w:val="21"/>
                            <w:szCs w:val="21"/>
                            <w:lang w:eastAsia="en-GB"/>
                          </w:rPr>
                          <w:br/>
                        </w:r>
                        <w:r w:rsidRPr="000E3726">
                          <w:rPr>
                            <w:rFonts w:ascii="Arial" w:eastAsia="Times New Roman" w:hAnsi="Arial" w:cs="Arial"/>
                            <w:color w:val="333333"/>
                            <w:sz w:val="21"/>
                            <w:szCs w:val="21"/>
                            <w:lang w:eastAsia="en-GB"/>
                          </w:rPr>
                          <w:br/>
                        </w:r>
                        <w:r w:rsidRPr="000E3726">
                          <w:rPr>
                            <w:rFonts w:ascii="Arial" w:eastAsia="Times New Roman" w:hAnsi="Arial" w:cs="Arial"/>
                            <w:b/>
                            <w:bCs/>
                            <w:i/>
                            <w:iCs/>
                            <w:color w:val="333333"/>
                            <w:sz w:val="21"/>
                            <w:szCs w:val="21"/>
                            <w:lang w:eastAsia="en-GB"/>
                          </w:rPr>
                          <w:t>Watkins v HSBC</w:t>
                        </w:r>
                        <w:r w:rsidRPr="000E3726">
                          <w:rPr>
                            <w:rFonts w:ascii="Arial" w:eastAsia="Times New Roman" w:hAnsi="Arial" w:cs="Arial"/>
                            <w:color w:val="333333"/>
                            <w:sz w:val="21"/>
                            <w:szCs w:val="21"/>
                            <w:lang w:eastAsia="en-GB"/>
                          </w:rPr>
                          <w:t> (UKEAT/008/18/DA – Judgment delivered on 4 July 2018).</w:t>
                        </w:r>
                        <w:r w:rsidRPr="000E3726">
                          <w:rPr>
                            <w:rFonts w:ascii="Arial" w:eastAsia="Times New Roman" w:hAnsi="Arial" w:cs="Arial"/>
                            <w:color w:val="333333"/>
                            <w:sz w:val="21"/>
                            <w:szCs w:val="21"/>
                            <w:lang w:eastAsia="en-GB"/>
                          </w:rPr>
                          <w:br/>
                        </w:r>
                        <w:r w:rsidRPr="000E3726">
                          <w:rPr>
                            <w:rFonts w:ascii="Arial" w:eastAsia="Times New Roman" w:hAnsi="Arial" w:cs="Arial"/>
                            <w:color w:val="333333"/>
                            <w:sz w:val="21"/>
                            <w:szCs w:val="21"/>
                            <w:lang w:eastAsia="en-GB"/>
                          </w:rPr>
                          <w:br/>
                          <w:t>Significant because it shows that failing to monitor work activity and work-flow is capable of being a “step” for a reasonable adjustments claim even though it is generally accepted that a failure to consider adjustments is not the same as the statutory need to make them.</w:t>
                        </w:r>
                        <w:r w:rsidRPr="000E3726">
                          <w:rPr>
                            <w:rFonts w:ascii="Arial" w:eastAsia="Times New Roman" w:hAnsi="Arial" w:cs="Arial"/>
                            <w:color w:val="333333"/>
                            <w:sz w:val="21"/>
                            <w:szCs w:val="21"/>
                            <w:lang w:eastAsia="en-GB"/>
                          </w:rPr>
                          <w:br/>
                        </w:r>
                        <w:r w:rsidRPr="000E3726">
                          <w:rPr>
                            <w:rFonts w:ascii="Arial" w:eastAsia="Times New Roman" w:hAnsi="Arial" w:cs="Arial"/>
                            <w:color w:val="333333"/>
                            <w:sz w:val="21"/>
                            <w:szCs w:val="21"/>
                            <w:lang w:eastAsia="en-GB"/>
                          </w:rPr>
                          <w:br/>
                          <w:t>The EAT found that monitoring could be a preventative measure which it was reasonable for the Respondent to have to take before the Claimant got into further difficulty. It was a matter of providing management support rather than mere assessment or consultation. The disability was epilepsy.</w:t>
                        </w:r>
                        <w:r w:rsidRPr="000E3726">
                          <w:rPr>
                            <w:rFonts w:ascii="Arial" w:eastAsia="Times New Roman" w:hAnsi="Arial" w:cs="Arial"/>
                            <w:color w:val="333333"/>
                            <w:sz w:val="21"/>
                            <w:szCs w:val="21"/>
                            <w:lang w:eastAsia="en-GB"/>
                          </w:rPr>
                          <w:br/>
                        </w:r>
                        <w:r w:rsidRPr="000E3726">
                          <w:rPr>
                            <w:rFonts w:ascii="Arial" w:eastAsia="Times New Roman" w:hAnsi="Arial" w:cs="Arial"/>
                            <w:color w:val="333333"/>
                            <w:sz w:val="21"/>
                            <w:szCs w:val="21"/>
                            <w:lang w:eastAsia="en-GB"/>
                          </w:rPr>
                          <w:br/>
                          <w:t xml:space="preserve">Also important because it shows that an adjustment may be required where there is a need to prevent the recurrence of a difficulty and not just where there is a need to alleviate a current </w:t>
                        </w:r>
                        <w:r w:rsidRPr="000E3726">
                          <w:rPr>
                            <w:rFonts w:ascii="Arial" w:eastAsia="Times New Roman" w:hAnsi="Arial" w:cs="Arial"/>
                            <w:color w:val="333333"/>
                            <w:sz w:val="21"/>
                            <w:szCs w:val="21"/>
                            <w:lang w:eastAsia="en-GB"/>
                          </w:rPr>
                          <w:lastRenderedPageBreak/>
                          <w:t>difficulty. An employer should not ignore recommendations for active management support to prevent recurrence or concerns about the risk of deterioration in the future.</w:t>
                        </w:r>
                      </w:p>
                      <w:p w:rsidR="000E3726" w:rsidRPr="000E3726" w:rsidRDefault="000E3726" w:rsidP="000E3726">
                        <w:pPr>
                          <w:spacing w:before="100" w:beforeAutospacing="1" w:after="100" w:afterAutospacing="1" w:line="270" w:lineRule="atLeast"/>
                          <w:rPr>
                            <w:rFonts w:ascii="Arial" w:eastAsia="Times New Roman" w:hAnsi="Arial" w:cs="Arial"/>
                            <w:color w:val="333333"/>
                            <w:sz w:val="21"/>
                            <w:szCs w:val="21"/>
                            <w:lang w:eastAsia="en-GB"/>
                          </w:rPr>
                        </w:pPr>
                        <w:r w:rsidRPr="000E3726">
                          <w:rPr>
                            <w:rFonts w:ascii="Arial" w:eastAsia="Times New Roman" w:hAnsi="Arial" w:cs="Arial"/>
                            <w:color w:val="333333"/>
                            <w:sz w:val="28"/>
                            <w:szCs w:val="28"/>
                            <w:lang w:eastAsia="en-GB"/>
                          </w:rPr>
                          <w:t>Pay</w:t>
                        </w:r>
                        <w:r w:rsidRPr="000E3726">
                          <w:rPr>
                            <w:rFonts w:ascii="Arial" w:eastAsia="Times New Roman" w:hAnsi="Arial" w:cs="Arial"/>
                            <w:color w:val="333333"/>
                            <w:sz w:val="21"/>
                            <w:szCs w:val="21"/>
                            <w:lang w:eastAsia="en-GB"/>
                          </w:rPr>
                          <w:br/>
                        </w:r>
                        <w:r w:rsidRPr="000E3726">
                          <w:rPr>
                            <w:rFonts w:ascii="Arial" w:eastAsia="Times New Roman" w:hAnsi="Arial" w:cs="Arial"/>
                            <w:color w:val="333333"/>
                            <w:sz w:val="21"/>
                            <w:szCs w:val="21"/>
                            <w:lang w:eastAsia="en-GB"/>
                          </w:rPr>
                          <w:br/>
                        </w:r>
                        <w:r w:rsidRPr="000E3726">
                          <w:rPr>
                            <w:rFonts w:ascii="Arial" w:eastAsia="Times New Roman" w:hAnsi="Arial" w:cs="Arial"/>
                            <w:color w:val="333333"/>
                            <w:sz w:val="21"/>
                            <w:szCs w:val="21"/>
                            <w:lang w:eastAsia="en-GB"/>
                          </w:rPr>
                          <w:br/>
                          <w:t>Apart from the lessons to be learnt from the recent decisions referred to below, employers should be aware that all NMW liabilities will be enforced against a transferee as of 2 July 2018 (including penalties for any arrears that may have accrued before the transfer). This highlights the importance of obtaining an indemnity from the transferor to cover these potential liabilities.</w:t>
                        </w:r>
                        <w:r w:rsidRPr="000E3726">
                          <w:rPr>
                            <w:rFonts w:ascii="Arial" w:eastAsia="Times New Roman" w:hAnsi="Arial" w:cs="Arial"/>
                            <w:color w:val="333333"/>
                            <w:sz w:val="21"/>
                            <w:szCs w:val="21"/>
                            <w:lang w:eastAsia="en-GB"/>
                          </w:rPr>
                          <w:br/>
                        </w:r>
                        <w:r w:rsidRPr="000E3726">
                          <w:rPr>
                            <w:rFonts w:ascii="Arial" w:eastAsia="Times New Roman" w:hAnsi="Arial" w:cs="Arial"/>
                            <w:color w:val="333333"/>
                            <w:sz w:val="21"/>
                            <w:szCs w:val="21"/>
                            <w:lang w:eastAsia="en-GB"/>
                          </w:rPr>
                          <w:br/>
                        </w:r>
                        <w:r w:rsidRPr="000E3726">
                          <w:rPr>
                            <w:rFonts w:ascii="Arial" w:eastAsia="Times New Roman" w:hAnsi="Arial" w:cs="Arial"/>
                            <w:b/>
                            <w:bCs/>
                            <w:color w:val="333333"/>
                            <w:sz w:val="21"/>
                            <w:szCs w:val="21"/>
                            <w:lang w:eastAsia="en-GB"/>
                          </w:rPr>
                          <w:t xml:space="preserve">Royal Mencap Society v Tomlinson-Blake and Shannon v </w:t>
                        </w:r>
                        <w:proofErr w:type="spellStart"/>
                        <w:r w:rsidRPr="000E3726">
                          <w:rPr>
                            <w:rFonts w:ascii="Arial" w:eastAsia="Times New Roman" w:hAnsi="Arial" w:cs="Arial"/>
                            <w:b/>
                            <w:bCs/>
                            <w:color w:val="333333"/>
                            <w:sz w:val="21"/>
                            <w:szCs w:val="21"/>
                            <w:lang w:eastAsia="en-GB"/>
                          </w:rPr>
                          <w:t>Rampersad</w:t>
                        </w:r>
                        <w:proofErr w:type="spellEnd"/>
                        <w:r w:rsidRPr="000E3726">
                          <w:rPr>
                            <w:rFonts w:ascii="Arial" w:eastAsia="Times New Roman" w:hAnsi="Arial" w:cs="Arial"/>
                            <w:b/>
                            <w:bCs/>
                            <w:color w:val="333333"/>
                            <w:sz w:val="21"/>
                            <w:szCs w:val="21"/>
                            <w:lang w:eastAsia="en-GB"/>
                          </w:rPr>
                          <w:t> </w:t>
                        </w:r>
                        <w:r w:rsidRPr="000E3726">
                          <w:rPr>
                            <w:rFonts w:ascii="Arial" w:eastAsia="Times New Roman" w:hAnsi="Arial" w:cs="Arial"/>
                            <w:color w:val="333333"/>
                            <w:sz w:val="21"/>
                            <w:szCs w:val="21"/>
                            <w:lang w:eastAsia="en-GB"/>
                          </w:rPr>
                          <w:t xml:space="preserve">[2018] EWCA </w:t>
                        </w:r>
                        <w:proofErr w:type="spellStart"/>
                        <w:r w:rsidRPr="000E3726">
                          <w:rPr>
                            <w:rFonts w:ascii="Arial" w:eastAsia="Times New Roman" w:hAnsi="Arial" w:cs="Arial"/>
                            <w:color w:val="333333"/>
                            <w:sz w:val="21"/>
                            <w:szCs w:val="21"/>
                            <w:lang w:eastAsia="en-GB"/>
                          </w:rPr>
                          <w:t>Civ</w:t>
                        </w:r>
                        <w:proofErr w:type="spellEnd"/>
                        <w:r w:rsidRPr="000E3726">
                          <w:rPr>
                            <w:rFonts w:ascii="Arial" w:eastAsia="Times New Roman" w:hAnsi="Arial" w:cs="Arial"/>
                            <w:color w:val="333333"/>
                            <w:sz w:val="21"/>
                            <w:szCs w:val="21"/>
                            <w:lang w:eastAsia="en-GB"/>
                          </w:rPr>
                          <w:t xml:space="preserve"> 1641 (Judgement delivered on 13 July 2018).</w:t>
                        </w:r>
                        <w:r w:rsidRPr="000E3726">
                          <w:rPr>
                            <w:rFonts w:ascii="Arial" w:eastAsia="Times New Roman" w:hAnsi="Arial" w:cs="Arial"/>
                            <w:color w:val="333333"/>
                            <w:sz w:val="21"/>
                            <w:szCs w:val="21"/>
                            <w:lang w:eastAsia="en-GB"/>
                          </w:rPr>
                          <w:br/>
                        </w:r>
                        <w:r w:rsidRPr="000E3726">
                          <w:rPr>
                            <w:rFonts w:ascii="Arial" w:eastAsia="Times New Roman" w:hAnsi="Arial" w:cs="Arial"/>
                            <w:color w:val="333333"/>
                            <w:sz w:val="21"/>
                            <w:szCs w:val="21"/>
                            <w:lang w:eastAsia="en-GB"/>
                          </w:rPr>
                          <w:br/>
                          <w:t xml:space="preserve">Significant because the Court of Appeal held that only time spent awake and working should be included in the calculation of National Minimum Wage payments. The case concerned care workers who were required to sleep at, or near, their workplace and be available to </w:t>
                        </w:r>
                        <w:proofErr w:type="gramStart"/>
                        <w:r w:rsidRPr="000E3726">
                          <w:rPr>
                            <w:rFonts w:ascii="Arial" w:eastAsia="Times New Roman" w:hAnsi="Arial" w:cs="Arial"/>
                            <w:color w:val="333333"/>
                            <w:sz w:val="21"/>
                            <w:szCs w:val="21"/>
                            <w:lang w:eastAsia="en-GB"/>
                          </w:rPr>
                          <w:t>provide assistance</w:t>
                        </w:r>
                        <w:proofErr w:type="gramEnd"/>
                        <w:r w:rsidRPr="000E3726">
                          <w:rPr>
                            <w:rFonts w:ascii="Arial" w:eastAsia="Times New Roman" w:hAnsi="Arial" w:cs="Arial"/>
                            <w:color w:val="333333"/>
                            <w:sz w:val="21"/>
                            <w:szCs w:val="21"/>
                            <w:lang w:eastAsia="en-GB"/>
                          </w:rPr>
                          <w:t xml:space="preserve"> if required. The court considered and applied the exclusion in Regulation 32 of the National Minimum Wage Regulations 2015 (which specifies that the National Minimum Wage is only payable during hours when the worker is awake for the purpose of working, as opposed to available for work, even if facilities for sleeping are provided by the employer).</w:t>
                        </w:r>
                        <w:r w:rsidRPr="000E3726">
                          <w:rPr>
                            <w:rFonts w:ascii="Arial" w:eastAsia="Times New Roman" w:hAnsi="Arial" w:cs="Arial"/>
                            <w:color w:val="333333"/>
                            <w:sz w:val="21"/>
                            <w:szCs w:val="21"/>
                            <w:lang w:eastAsia="en-GB"/>
                          </w:rPr>
                          <w:br/>
                        </w:r>
                        <w:r w:rsidRPr="000E3726">
                          <w:rPr>
                            <w:rFonts w:ascii="Arial" w:eastAsia="Times New Roman" w:hAnsi="Arial" w:cs="Arial"/>
                            <w:color w:val="333333"/>
                            <w:sz w:val="21"/>
                            <w:szCs w:val="21"/>
                            <w:lang w:eastAsia="en-GB"/>
                          </w:rPr>
                          <w:br/>
                          <w:t>Whilst the case helps to clarify the position, it still leaves some issues to be resolved. For example, the extent to which an employee is able to sleep (or expected to be woken to work) determines whether there is “actual work” or a period of being “available for work”. The Judgment suggests that most night security staff would be on the "actual work" side of the line because they have regular, if intermittent, patrolling or monitoring duties throughout the night.</w:t>
                        </w:r>
                      </w:p>
                      <w:p w:rsidR="000E3726" w:rsidRPr="000E3726" w:rsidRDefault="000E3726" w:rsidP="000E3726">
                        <w:pPr>
                          <w:spacing w:before="100" w:beforeAutospacing="1" w:after="240" w:line="270" w:lineRule="atLeast"/>
                          <w:rPr>
                            <w:rFonts w:ascii="Arial" w:eastAsia="Times New Roman" w:hAnsi="Arial" w:cs="Arial"/>
                            <w:color w:val="333333"/>
                            <w:sz w:val="21"/>
                            <w:szCs w:val="21"/>
                            <w:lang w:eastAsia="en-GB"/>
                          </w:rPr>
                        </w:pPr>
                        <w:r w:rsidRPr="000E3726">
                          <w:rPr>
                            <w:rFonts w:ascii="Arial" w:eastAsia="Times New Roman" w:hAnsi="Arial" w:cs="Arial"/>
                            <w:b/>
                            <w:bCs/>
                            <w:i/>
                            <w:iCs/>
                            <w:color w:val="333333"/>
                            <w:sz w:val="21"/>
                            <w:szCs w:val="21"/>
                            <w:lang w:eastAsia="en-GB"/>
                          </w:rPr>
                          <w:t>Agarwal v Cardiff University &amp; Anor</w:t>
                        </w:r>
                        <w:r w:rsidRPr="000E3726">
                          <w:rPr>
                            <w:rFonts w:ascii="Arial" w:eastAsia="Times New Roman" w:hAnsi="Arial" w:cs="Arial"/>
                            <w:color w:val="333333"/>
                            <w:sz w:val="21"/>
                            <w:szCs w:val="21"/>
                            <w:lang w:eastAsia="en-GB"/>
                          </w:rPr>
                          <w:t xml:space="preserve"> [2018] EWCA </w:t>
                        </w:r>
                        <w:proofErr w:type="spellStart"/>
                        <w:r w:rsidRPr="000E3726">
                          <w:rPr>
                            <w:rFonts w:ascii="Arial" w:eastAsia="Times New Roman" w:hAnsi="Arial" w:cs="Arial"/>
                            <w:color w:val="333333"/>
                            <w:sz w:val="21"/>
                            <w:szCs w:val="21"/>
                            <w:lang w:eastAsia="en-GB"/>
                          </w:rPr>
                          <w:t>Civ</w:t>
                        </w:r>
                        <w:proofErr w:type="spellEnd"/>
                        <w:r w:rsidRPr="000E3726">
                          <w:rPr>
                            <w:rFonts w:ascii="Arial" w:eastAsia="Times New Roman" w:hAnsi="Arial" w:cs="Arial"/>
                            <w:color w:val="333333"/>
                            <w:sz w:val="21"/>
                            <w:szCs w:val="21"/>
                            <w:lang w:eastAsia="en-GB"/>
                          </w:rPr>
                          <w:t xml:space="preserve"> 1434 (Judgement delivered on 7 June 2018).</w:t>
                        </w:r>
                        <w:r w:rsidRPr="000E3726">
                          <w:rPr>
                            <w:rFonts w:ascii="Arial" w:eastAsia="Times New Roman" w:hAnsi="Arial" w:cs="Arial"/>
                            <w:color w:val="333333"/>
                            <w:sz w:val="21"/>
                            <w:szCs w:val="21"/>
                            <w:lang w:eastAsia="en-GB"/>
                          </w:rPr>
                          <w:br/>
                        </w:r>
                        <w:r w:rsidRPr="000E3726">
                          <w:rPr>
                            <w:rFonts w:ascii="Arial" w:eastAsia="Times New Roman" w:hAnsi="Arial" w:cs="Arial"/>
                            <w:color w:val="333333"/>
                            <w:sz w:val="21"/>
                            <w:szCs w:val="21"/>
                            <w:lang w:eastAsia="en-GB"/>
                          </w:rPr>
                          <w:br/>
                          <w:t xml:space="preserve">Significant because the Court of Appeal held that an employment tribunal has the jurisdiction to consider an </w:t>
                        </w:r>
                        <w:proofErr w:type="gramStart"/>
                        <w:r w:rsidRPr="000E3726">
                          <w:rPr>
                            <w:rFonts w:ascii="Arial" w:eastAsia="Times New Roman" w:hAnsi="Arial" w:cs="Arial"/>
                            <w:color w:val="333333"/>
                            <w:sz w:val="21"/>
                            <w:szCs w:val="21"/>
                            <w:lang w:eastAsia="en-GB"/>
                          </w:rPr>
                          <w:t>unlawful deductions</w:t>
                        </w:r>
                        <w:proofErr w:type="gramEnd"/>
                        <w:r w:rsidRPr="000E3726">
                          <w:rPr>
                            <w:rFonts w:ascii="Arial" w:eastAsia="Times New Roman" w:hAnsi="Arial" w:cs="Arial"/>
                            <w:color w:val="333333"/>
                            <w:sz w:val="21"/>
                            <w:szCs w:val="21"/>
                            <w:lang w:eastAsia="en-GB"/>
                          </w:rPr>
                          <w:t xml:space="preserve"> claim even where it involves a question of contractual interpretation.  </w:t>
                        </w:r>
                      </w:p>
                      <w:p w:rsidR="000E3726" w:rsidRPr="000E3726" w:rsidRDefault="000E3726" w:rsidP="000E3726">
                        <w:pPr>
                          <w:spacing w:before="100" w:beforeAutospacing="1" w:after="100" w:afterAutospacing="1" w:line="270" w:lineRule="atLeast"/>
                          <w:rPr>
                            <w:rFonts w:ascii="Arial" w:eastAsia="Times New Roman" w:hAnsi="Arial" w:cs="Arial"/>
                            <w:color w:val="333333"/>
                            <w:sz w:val="21"/>
                            <w:szCs w:val="21"/>
                            <w:lang w:eastAsia="en-GB"/>
                          </w:rPr>
                        </w:pPr>
                        <w:r w:rsidRPr="000E3726">
                          <w:rPr>
                            <w:rFonts w:ascii="Arial" w:eastAsia="Times New Roman" w:hAnsi="Arial" w:cs="Arial"/>
                            <w:color w:val="333333"/>
                            <w:sz w:val="28"/>
                            <w:szCs w:val="28"/>
                            <w:lang w:eastAsia="en-GB"/>
                          </w:rPr>
                          <w:t>Employment status</w:t>
                        </w:r>
                        <w:r w:rsidRPr="000E3726">
                          <w:rPr>
                            <w:rFonts w:ascii="Arial" w:eastAsia="Times New Roman" w:hAnsi="Arial" w:cs="Arial"/>
                            <w:color w:val="333333"/>
                            <w:sz w:val="21"/>
                            <w:szCs w:val="21"/>
                            <w:lang w:eastAsia="en-GB"/>
                          </w:rPr>
                          <w:br/>
                        </w:r>
                        <w:r w:rsidRPr="000E3726">
                          <w:rPr>
                            <w:rFonts w:ascii="Arial" w:eastAsia="Times New Roman" w:hAnsi="Arial" w:cs="Arial"/>
                            <w:color w:val="333333"/>
                            <w:sz w:val="21"/>
                            <w:szCs w:val="21"/>
                            <w:lang w:eastAsia="en-GB"/>
                          </w:rPr>
                          <w:br/>
                        </w:r>
                        <w:r w:rsidRPr="000E3726">
                          <w:rPr>
                            <w:rFonts w:ascii="Arial" w:eastAsia="Times New Roman" w:hAnsi="Arial" w:cs="Arial"/>
                            <w:color w:val="333333"/>
                            <w:sz w:val="21"/>
                            <w:szCs w:val="21"/>
                            <w:lang w:eastAsia="en-GB"/>
                          </w:rPr>
                          <w:br/>
                          <w:t>This is very much in the public eye and the Employment Team at Five Paper has considerable expertise in this issue. Please ask us for links to the various articles we have written on this subject, including articles about the Taylor Review of Modern Working Practices and the Supreme Court decision in </w:t>
                        </w:r>
                        <w:r w:rsidRPr="000E3726">
                          <w:rPr>
                            <w:rFonts w:ascii="Arial" w:eastAsia="Times New Roman" w:hAnsi="Arial" w:cs="Arial"/>
                            <w:b/>
                            <w:bCs/>
                            <w:i/>
                            <w:iCs/>
                            <w:color w:val="333333"/>
                            <w:sz w:val="21"/>
                            <w:szCs w:val="21"/>
                            <w:lang w:eastAsia="en-GB"/>
                          </w:rPr>
                          <w:t>Pimlico Plumbers v Smith </w:t>
                        </w:r>
                        <w:r w:rsidRPr="000E3726">
                          <w:rPr>
                            <w:rFonts w:ascii="Arial" w:eastAsia="Times New Roman" w:hAnsi="Arial" w:cs="Arial"/>
                            <w:color w:val="333333"/>
                            <w:sz w:val="21"/>
                            <w:szCs w:val="21"/>
                            <w:lang w:eastAsia="en-GB"/>
                          </w:rPr>
                          <w:t xml:space="preserve">[2018] UKSC 29. We advise public bodies and companies about employment status and connected issues such as workers’ rights, self-employment, immigration, consultancy agreements, the gig economy and </w:t>
                        </w:r>
                        <w:proofErr w:type="gramStart"/>
                        <w:r w:rsidRPr="000E3726">
                          <w:rPr>
                            <w:rFonts w:ascii="Arial" w:eastAsia="Times New Roman" w:hAnsi="Arial" w:cs="Arial"/>
                            <w:color w:val="333333"/>
                            <w:sz w:val="21"/>
                            <w:szCs w:val="21"/>
                            <w:lang w:eastAsia="en-GB"/>
                          </w:rPr>
                          <w:t>zero hour</w:t>
                        </w:r>
                        <w:proofErr w:type="gramEnd"/>
                        <w:r w:rsidRPr="000E3726">
                          <w:rPr>
                            <w:rFonts w:ascii="Arial" w:eastAsia="Times New Roman" w:hAnsi="Arial" w:cs="Arial"/>
                            <w:color w:val="333333"/>
                            <w:sz w:val="21"/>
                            <w:szCs w:val="21"/>
                            <w:lang w:eastAsia="en-GB"/>
                          </w:rPr>
                          <w:t xml:space="preserve"> contracts. </w:t>
                        </w:r>
                      </w:p>
                      <w:p w:rsidR="000E3726" w:rsidRPr="000E3726" w:rsidRDefault="000E3726" w:rsidP="000E3726">
                        <w:pPr>
                          <w:spacing w:before="100" w:beforeAutospacing="1" w:after="240" w:line="270" w:lineRule="atLeast"/>
                          <w:rPr>
                            <w:rFonts w:ascii="Arial" w:eastAsia="Times New Roman" w:hAnsi="Arial" w:cs="Arial"/>
                            <w:color w:val="333333"/>
                            <w:sz w:val="21"/>
                            <w:szCs w:val="21"/>
                            <w:lang w:eastAsia="en-GB"/>
                          </w:rPr>
                        </w:pPr>
                        <w:r w:rsidRPr="000E3726">
                          <w:rPr>
                            <w:rFonts w:ascii="Arial" w:eastAsia="Times New Roman" w:hAnsi="Arial" w:cs="Arial"/>
                            <w:color w:val="333333"/>
                            <w:sz w:val="21"/>
                            <w:szCs w:val="21"/>
                            <w:lang w:eastAsia="en-GB"/>
                          </w:rPr>
                          <w:t>There have been various recent tribunal decisions on employment status but the only appeal case of any note since </w:t>
                        </w:r>
                        <w:r w:rsidRPr="000E3726">
                          <w:rPr>
                            <w:rFonts w:ascii="Arial" w:eastAsia="Times New Roman" w:hAnsi="Arial" w:cs="Arial"/>
                            <w:b/>
                            <w:bCs/>
                            <w:i/>
                            <w:iCs/>
                            <w:color w:val="333333"/>
                            <w:sz w:val="21"/>
                            <w:szCs w:val="21"/>
                            <w:lang w:eastAsia="en-GB"/>
                          </w:rPr>
                          <w:t>Pimlico Plumbers </w:t>
                        </w:r>
                        <w:r w:rsidRPr="000E3726">
                          <w:rPr>
                            <w:rFonts w:ascii="Arial" w:eastAsia="Times New Roman" w:hAnsi="Arial" w:cs="Arial"/>
                            <w:color w:val="333333"/>
                            <w:sz w:val="21"/>
                            <w:szCs w:val="21"/>
                            <w:lang w:eastAsia="en-GB"/>
                          </w:rPr>
                          <w:t>is </w:t>
                        </w:r>
                        <w:r w:rsidRPr="000E3726">
                          <w:rPr>
                            <w:rFonts w:ascii="Arial" w:eastAsia="Times New Roman" w:hAnsi="Arial" w:cs="Arial"/>
                            <w:b/>
                            <w:bCs/>
                            <w:i/>
                            <w:iCs/>
                            <w:color w:val="333333"/>
                            <w:sz w:val="21"/>
                            <w:szCs w:val="21"/>
                            <w:lang w:eastAsia="en-GB"/>
                          </w:rPr>
                          <w:t xml:space="preserve">Morrison v </w:t>
                        </w:r>
                        <w:proofErr w:type="spellStart"/>
                        <w:r w:rsidRPr="000E3726">
                          <w:rPr>
                            <w:rFonts w:ascii="Arial" w:eastAsia="Times New Roman" w:hAnsi="Arial" w:cs="Arial"/>
                            <w:b/>
                            <w:bCs/>
                            <w:i/>
                            <w:iCs/>
                            <w:color w:val="333333"/>
                            <w:sz w:val="21"/>
                            <w:szCs w:val="21"/>
                            <w:lang w:eastAsia="en-GB"/>
                          </w:rPr>
                          <w:t>Aberdein</w:t>
                        </w:r>
                        <w:proofErr w:type="spellEnd"/>
                        <w:r w:rsidRPr="000E3726">
                          <w:rPr>
                            <w:rFonts w:ascii="Arial" w:eastAsia="Times New Roman" w:hAnsi="Arial" w:cs="Arial"/>
                            <w:b/>
                            <w:bCs/>
                            <w:i/>
                            <w:iCs/>
                            <w:color w:val="333333"/>
                            <w:sz w:val="21"/>
                            <w:szCs w:val="21"/>
                            <w:lang w:eastAsia="en-GB"/>
                          </w:rPr>
                          <w:t xml:space="preserve"> Considine &amp; Co </w:t>
                        </w:r>
                        <w:r w:rsidRPr="000E3726">
                          <w:rPr>
                            <w:rFonts w:ascii="Arial" w:eastAsia="Times New Roman" w:hAnsi="Arial" w:cs="Arial"/>
                            <w:color w:val="333333"/>
                            <w:sz w:val="21"/>
                            <w:szCs w:val="21"/>
                            <w:lang w:eastAsia="en-GB"/>
                          </w:rPr>
                          <w:t xml:space="preserve">(UKEATS/0018/17 – Judgement delivered on 29 August 2018). This case reminds legal firms and other partnerships that someone described as a salaried partner might still have </w:t>
                        </w:r>
                        <w:r w:rsidRPr="000E3726">
                          <w:rPr>
                            <w:rFonts w:ascii="Arial" w:eastAsia="Times New Roman" w:hAnsi="Arial" w:cs="Arial"/>
                            <w:color w:val="333333"/>
                            <w:sz w:val="21"/>
                            <w:szCs w:val="21"/>
                            <w:lang w:eastAsia="en-GB"/>
                          </w:rPr>
                          <w:lastRenderedPageBreak/>
                          <w:t>employee status. The consultation process on employment status has now finished and further editions of this newsletter will consider the government’s response.</w:t>
                        </w:r>
                      </w:p>
                      <w:p w:rsidR="000E3726" w:rsidRPr="000E3726" w:rsidRDefault="000E3726" w:rsidP="000E3726">
                        <w:pPr>
                          <w:spacing w:before="100" w:beforeAutospacing="1" w:after="100" w:afterAutospacing="1" w:line="270" w:lineRule="atLeast"/>
                          <w:rPr>
                            <w:rFonts w:ascii="Arial" w:eastAsia="Times New Roman" w:hAnsi="Arial" w:cs="Arial"/>
                            <w:color w:val="333333"/>
                            <w:sz w:val="21"/>
                            <w:szCs w:val="21"/>
                            <w:lang w:eastAsia="en-GB"/>
                          </w:rPr>
                        </w:pPr>
                        <w:r w:rsidRPr="000E3726">
                          <w:rPr>
                            <w:rFonts w:ascii="Arial" w:eastAsia="Times New Roman" w:hAnsi="Arial" w:cs="Arial"/>
                            <w:color w:val="333333"/>
                            <w:sz w:val="28"/>
                            <w:szCs w:val="28"/>
                            <w:lang w:eastAsia="en-GB"/>
                          </w:rPr>
                          <w:t>Other recent appeal cases</w:t>
                        </w:r>
                        <w:r w:rsidRPr="000E3726">
                          <w:rPr>
                            <w:rFonts w:ascii="Arial" w:eastAsia="Times New Roman" w:hAnsi="Arial" w:cs="Arial"/>
                            <w:color w:val="333333"/>
                            <w:sz w:val="28"/>
                            <w:szCs w:val="28"/>
                            <w:lang w:eastAsia="en-GB"/>
                          </w:rPr>
                          <w:br/>
                        </w:r>
                        <w:r w:rsidRPr="000E3726">
                          <w:rPr>
                            <w:rFonts w:ascii="Arial" w:eastAsia="Times New Roman" w:hAnsi="Arial" w:cs="Arial"/>
                            <w:b/>
                            <w:bCs/>
                            <w:i/>
                            <w:iCs/>
                            <w:color w:val="333333"/>
                            <w:sz w:val="21"/>
                            <w:szCs w:val="21"/>
                            <w:lang w:eastAsia="en-GB"/>
                          </w:rPr>
                          <w:br/>
                        </w:r>
                        <w:r w:rsidRPr="000E3726">
                          <w:rPr>
                            <w:rFonts w:ascii="Arial" w:eastAsia="Times New Roman" w:hAnsi="Arial" w:cs="Arial"/>
                            <w:b/>
                            <w:bCs/>
                            <w:i/>
                            <w:iCs/>
                            <w:color w:val="333333"/>
                            <w:sz w:val="21"/>
                            <w:szCs w:val="21"/>
                            <w:lang w:eastAsia="en-GB"/>
                          </w:rPr>
                          <w:br/>
                          <w:t>Patel v Folkestone Nursing Home </w:t>
                        </w:r>
                        <w:r w:rsidRPr="000E3726">
                          <w:rPr>
                            <w:rFonts w:ascii="Arial" w:eastAsia="Times New Roman" w:hAnsi="Arial" w:cs="Arial"/>
                            <w:color w:val="333333"/>
                            <w:sz w:val="21"/>
                            <w:szCs w:val="21"/>
                            <w:lang w:eastAsia="en-GB"/>
                          </w:rPr>
                          <w:t xml:space="preserve">[2018] EWCA </w:t>
                        </w:r>
                        <w:proofErr w:type="spellStart"/>
                        <w:r w:rsidRPr="000E3726">
                          <w:rPr>
                            <w:rFonts w:ascii="Arial" w:eastAsia="Times New Roman" w:hAnsi="Arial" w:cs="Arial"/>
                            <w:color w:val="333333"/>
                            <w:sz w:val="21"/>
                            <w:szCs w:val="21"/>
                            <w:lang w:eastAsia="en-GB"/>
                          </w:rPr>
                          <w:t>Civ</w:t>
                        </w:r>
                        <w:proofErr w:type="spellEnd"/>
                        <w:r w:rsidRPr="000E3726">
                          <w:rPr>
                            <w:rFonts w:ascii="Arial" w:eastAsia="Times New Roman" w:hAnsi="Arial" w:cs="Arial"/>
                            <w:color w:val="333333"/>
                            <w:sz w:val="21"/>
                            <w:szCs w:val="21"/>
                            <w:lang w:eastAsia="en-GB"/>
                          </w:rPr>
                          <w:t xml:space="preserve"> 1689 (Judgement given on 17 July 2018) is a significant case because it serves as a warning to employers that even a successful appeal against dismissal can lead to a claim of constructive dismissal on the grounds that there has nevertheless been a breach of the implied term of trust and confidence. An employee may be entitled to resign where the appeal reinstates him but does not deal adequately with all the relevant issues.</w:t>
                        </w:r>
                        <w:r w:rsidRPr="000E3726">
                          <w:rPr>
                            <w:rFonts w:ascii="Arial" w:eastAsia="Times New Roman" w:hAnsi="Arial" w:cs="Arial"/>
                            <w:color w:val="333333"/>
                            <w:sz w:val="21"/>
                            <w:szCs w:val="21"/>
                            <w:lang w:eastAsia="en-GB"/>
                          </w:rPr>
                          <w:br/>
                        </w:r>
                        <w:r w:rsidRPr="000E3726">
                          <w:rPr>
                            <w:rFonts w:ascii="Arial" w:eastAsia="Times New Roman" w:hAnsi="Arial" w:cs="Arial"/>
                            <w:color w:val="333333"/>
                            <w:sz w:val="21"/>
                            <w:szCs w:val="21"/>
                            <w:lang w:eastAsia="en-GB"/>
                          </w:rPr>
                          <w:br/>
                        </w:r>
                        <w:r w:rsidRPr="000E3726">
                          <w:rPr>
                            <w:rFonts w:ascii="Arial" w:eastAsia="Times New Roman" w:hAnsi="Arial" w:cs="Arial"/>
                            <w:b/>
                            <w:bCs/>
                            <w:color w:val="333333"/>
                            <w:sz w:val="21"/>
                            <w:szCs w:val="21"/>
                            <w:lang w:eastAsia="en-GB"/>
                          </w:rPr>
                          <w:t>The Director of the Serious Fraud Office v Eurasian Natural Resources Corporation Ltd </w:t>
                        </w:r>
                        <w:r w:rsidRPr="000E3726">
                          <w:rPr>
                            <w:rFonts w:ascii="Arial" w:eastAsia="Times New Roman" w:hAnsi="Arial" w:cs="Arial"/>
                            <w:color w:val="333333"/>
                            <w:sz w:val="21"/>
                            <w:szCs w:val="21"/>
                            <w:lang w:eastAsia="en-GB"/>
                          </w:rPr>
                          <w:t xml:space="preserve">[2018] EWCA </w:t>
                        </w:r>
                        <w:proofErr w:type="spellStart"/>
                        <w:r w:rsidRPr="000E3726">
                          <w:rPr>
                            <w:rFonts w:ascii="Arial" w:eastAsia="Times New Roman" w:hAnsi="Arial" w:cs="Arial"/>
                            <w:color w:val="333333"/>
                            <w:sz w:val="21"/>
                            <w:szCs w:val="21"/>
                            <w:lang w:eastAsia="en-GB"/>
                          </w:rPr>
                          <w:t>Civ</w:t>
                        </w:r>
                        <w:proofErr w:type="spellEnd"/>
                        <w:r w:rsidRPr="000E3726">
                          <w:rPr>
                            <w:rFonts w:ascii="Arial" w:eastAsia="Times New Roman" w:hAnsi="Arial" w:cs="Arial"/>
                            <w:color w:val="333333"/>
                            <w:sz w:val="21"/>
                            <w:szCs w:val="21"/>
                            <w:lang w:eastAsia="en-GB"/>
                          </w:rPr>
                          <w:t xml:space="preserve"> 2006 (Judgment given on 5 September 2018) is a significant case because it shows that notes of interviews with employees and others for the purpose of investigating a </w:t>
                        </w:r>
                        <w:proofErr w:type="spellStart"/>
                        <w:r w:rsidRPr="000E3726">
                          <w:rPr>
                            <w:rFonts w:ascii="Arial" w:eastAsia="Times New Roman" w:hAnsi="Arial" w:cs="Arial"/>
                            <w:color w:val="333333"/>
                            <w:sz w:val="21"/>
                            <w:szCs w:val="21"/>
                            <w:lang w:eastAsia="en-GB"/>
                          </w:rPr>
                          <w:t>whistleblower’s</w:t>
                        </w:r>
                        <w:proofErr w:type="spellEnd"/>
                        <w:r w:rsidRPr="000E3726">
                          <w:rPr>
                            <w:rFonts w:ascii="Arial" w:eastAsia="Times New Roman" w:hAnsi="Arial" w:cs="Arial"/>
                            <w:color w:val="333333"/>
                            <w:sz w:val="21"/>
                            <w:szCs w:val="21"/>
                            <w:lang w:eastAsia="en-GB"/>
                          </w:rPr>
                          <w:t xml:space="preserve"> allegations can be protected by litigation privilege. The employer's purpose in preparing the documents was a necessary part of resisting or avoiding litigation and therefore satisfied the dominant purpose test. Documents prepared in order to avoid or settle contemplated litigation are also covered by litigation privilege.</w:t>
                        </w:r>
                      </w:p>
                      <w:p w:rsidR="000E3726" w:rsidRPr="000E3726" w:rsidRDefault="000E3726" w:rsidP="000E3726">
                        <w:pPr>
                          <w:spacing w:after="240" w:line="270" w:lineRule="atLeast"/>
                          <w:rPr>
                            <w:rFonts w:ascii="Arial" w:eastAsia="Times New Roman" w:hAnsi="Arial" w:cs="Arial"/>
                            <w:color w:val="333333"/>
                            <w:sz w:val="21"/>
                            <w:szCs w:val="21"/>
                            <w:lang w:eastAsia="en-GB"/>
                          </w:rPr>
                        </w:pPr>
                      </w:p>
                      <w:p w:rsidR="000E3726" w:rsidRPr="000E3726" w:rsidRDefault="000E3726" w:rsidP="000E3726">
                        <w:pPr>
                          <w:spacing w:before="100" w:beforeAutospacing="1" w:after="100" w:afterAutospacing="1" w:line="270" w:lineRule="atLeast"/>
                          <w:rPr>
                            <w:rFonts w:ascii="Arial" w:eastAsia="Times New Roman" w:hAnsi="Arial" w:cs="Arial"/>
                            <w:color w:val="333333"/>
                            <w:sz w:val="21"/>
                            <w:szCs w:val="21"/>
                            <w:lang w:eastAsia="en-GB"/>
                          </w:rPr>
                        </w:pPr>
                        <w:r w:rsidRPr="000E3726">
                          <w:rPr>
                            <w:rFonts w:ascii="Arial" w:eastAsia="Times New Roman" w:hAnsi="Arial" w:cs="Arial"/>
                            <w:i/>
                            <w:iCs/>
                            <w:color w:val="333333"/>
                            <w:sz w:val="21"/>
                            <w:szCs w:val="21"/>
                            <w:lang w:eastAsia="en-GB"/>
                          </w:rPr>
                          <w:t>The Employment Team at Five Paper provides a full range of advocacy and advisory services. We also provide seminars and training sessions on employment related issues. Our members regularly contribute articles to professional journals and online websites. Please contact David Portch, our Senior Clerk,</w:t>
                        </w:r>
                        <w:r>
                          <w:rPr>
                            <w:rFonts w:ascii="Arial" w:eastAsia="Times New Roman" w:hAnsi="Arial" w:cs="Arial"/>
                            <w:i/>
                            <w:iCs/>
                            <w:color w:val="333333"/>
                            <w:sz w:val="21"/>
                            <w:szCs w:val="21"/>
                            <w:lang w:eastAsia="en-GB"/>
                          </w:rPr>
                          <w:t xml:space="preserve"> on </w:t>
                        </w:r>
                        <w:hyperlink r:id="rId4" w:history="1">
                          <w:r w:rsidRPr="00107F04">
                            <w:rPr>
                              <w:rStyle w:val="Hyperlink"/>
                              <w:rFonts w:ascii="Arial" w:eastAsia="Times New Roman" w:hAnsi="Arial" w:cs="Arial"/>
                              <w:i/>
                              <w:iCs/>
                              <w:sz w:val="21"/>
                              <w:szCs w:val="21"/>
                              <w:lang w:eastAsia="en-GB"/>
                            </w:rPr>
                            <w:t>davidportch@fivepaper.com</w:t>
                          </w:r>
                        </w:hyperlink>
                        <w:r>
                          <w:rPr>
                            <w:rFonts w:ascii="Arial" w:eastAsia="Times New Roman" w:hAnsi="Arial" w:cs="Arial"/>
                            <w:i/>
                            <w:iCs/>
                            <w:color w:val="333333"/>
                            <w:sz w:val="21"/>
                            <w:szCs w:val="21"/>
                            <w:lang w:eastAsia="en-GB"/>
                          </w:rPr>
                          <w:t xml:space="preserve"> or 0207 815 3</w:t>
                        </w:r>
                        <w:bookmarkStart w:id="0" w:name="_GoBack"/>
                        <w:bookmarkEnd w:id="0"/>
                        <w:r>
                          <w:rPr>
                            <w:rFonts w:ascii="Arial" w:eastAsia="Times New Roman" w:hAnsi="Arial" w:cs="Arial"/>
                            <w:i/>
                            <w:iCs/>
                            <w:color w:val="333333"/>
                            <w:sz w:val="21"/>
                            <w:szCs w:val="21"/>
                            <w:lang w:eastAsia="en-GB"/>
                          </w:rPr>
                          <w:t>200</w:t>
                        </w:r>
                        <w:r w:rsidRPr="000E3726">
                          <w:rPr>
                            <w:rFonts w:ascii="Arial" w:eastAsia="Times New Roman" w:hAnsi="Arial" w:cs="Arial"/>
                            <w:i/>
                            <w:iCs/>
                            <w:color w:val="333333"/>
                            <w:sz w:val="21"/>
                            <w:szCs w:val="21"/>
                            <w:lang w:eastAsia="en-GB"/>
                          </w:rPr>
                          <w:t xml:space="preserve"> for further details.</w:t>
                        </w:r>
                      </w:p>
                    </w:tc>
                    <w:tc>
                      <w:tcPr>
                        <w:tcW w:w="0" w:type="auto"/>
                        <w:vAlign w:val="center"/>
                        <w:hideMark/>
                      </w:tcPr>
                      <w:p w:rsidR="000E3726" w:rsidRPr="000E3726" w:rsidRDefault="000E3726" w:rsidP="000E3726">
                        <w:pPr>
                          <w:spacing w:after="0" w:line="240" w:lineRule="auto"/>
                          <w:rPr>
                            <w:rFonts w:ascii="Times New Roman" w:eastAsia="Times New Roman" w:hAnsi="Times New Roman" w:cs="Times New Roman"/>
                            <w:sz w:val="20"/>
                            <w:szCs w:val="20"/>
                            <w:lang w:eastAsia="en-GB"/>
                          </w:rPr>
                        </w:pPr>
                      </w:p>
                    </w:tc>
                  </w:tr>
                </w:tbl>
                <w:p w:rsidR="000E3726" w:rsidRPr="000E3726" w:rsidRDefault="000E3726" w:rsidP="000E3726">
                  <w:pPr>
                    <w:spacing w:after="0" w:line="240" w:lineRule="auto"/>
                    <w:jc w:val="center"/>
                    <w:rPr>
                      <w:rFonts w:ascii="Helvetica" w:eastAsia="Times New Roman" w:hAnsi="Helvetica" w:cs="Helvetica"/>
                      <w:sz w:val="24"/>
                      <w:szCs w:val="24"/>
                      <w:lang w:eastAsia="en-GB"/>
                    </w:rPr>
                  </w:pPr>
                </w:p>
              </w:tc>
              <w:tc>
                <w:tcPr>
                  <w:tcW w:w="0" w:type="auto"/>
                  <w:vAlign w:val="center"/>
                  <w:hideMark/>
                </w:tcPr>
                <w:p w:rsidR="000E3726" w:rsidRPr="000E3726" w:rsidRDefault="000E3726" w:rsidP="000E3726">
                  <w:pPr>
                    <w:spacing w:after="0" w:line="240" w:lineRule="auto"/>
                    <w:rPr>
                      <w:rFonts w:ascii="Times New Roman" w:eastAsia="Times New Roman" w:hAnsi="Times New Roman" w:cs="Times New Roman"/>
                      <w:sz w:val="20"/>
                      <w:szCs w:val="20"/>
                      <w:lang w:eastAsia="en-GB"/>
                    </w:rPr>
                  </w:pPr>
                </w:p>
              </w:tc>
            </w:tr>
          </w:tbl>
          <w:p w:rsidR="000E3726" w:rsidRPr="000E3726" w:rsidRDefault="000E3726" w:rsidP="000E3726">
            <w:pPr>
              <w:spacing w:after="0" w:line="240" w:lineRule="auto"/>
              <w:jc w:val="center"/>
              <w:rPr>
                <w:rFonts w:ascii="Helvetica" w:eastAsia="Times New Roman" w:hAnsi="Helvetica" w:cs="Helvetica"/>
                <w:color w:val="222222"/>
                <w:sz w:val="24"/>
                <w:szCs w:val="24"/>
                <w:lang w:eastAsia="en-GB"/>
              </w:rPr>
            </w:pPr>
          </w:p>
        </w:tc>
      </w:tr>
    </w:tbl>
    <w:p w:rsidR="005B666F" w:rsidRDefault="005B666F"/>
    <w:sectPr w:rsidR="005B666F" w:rsidSect="000E3726">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726"/>
    <w:rsid w:val="000E3726"/>
    <w:rsid w:val="00155FF5"/>
    <w:rsid w:val="005B666F"/>
    <w:rsid w:val="00F17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7CAF6"/>
  <w15:chartTrackingRefBased/>
  <w15:docId w15:val="{26A9DCD5-8C40-403D-85E8-DF6A2618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726"/>
    <w:rPr>
      <w:color w:val="0563C1" w:themeColor="hyperlink"/>
      <w:u w:val="single"/>
    </w:rPr>
  </w:style>
  <w:style w:type="character" w:styleId="UnresolvedMention">
    <w:name w:val="Unresolved Mention"/>
    <w:basedOn w:val="DefaultParagraphFont"/>
    <w:uiPriority w:val="99"/>
    <w:semiHidden/>
    <w:unhideWhenUsed/>
    <w:rsid w:val="000E37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737635">
      <w:bodyDiv w:val="1"/>
      <w:marLeft w:val="0"/>
      <w:marRight w:val="0"/>
      <w:marTop w:val="0"/>
      <w:marBottom w:val="0"/>
      <w:divBdr>
        <w:top w:val="none" w:sz="0" w:space="0" w:color="auto"/>
        <w:left w:val="none" w:sz="0" w:space="0" w:color="auto"/>
        <w:bottom w:val="none" w:sz="0" w:space="0" w:color="auto"/>
        <w:right w:val="none" w:sz="0" w:space="0" w:color="auto"/>
      </w:divBdr>
      <w:divsChild>
        <w:div w:id="2021152204">
          <w:marLeft w:val="0"/>
          <w:marRight w:val="0"/>
          <w:marTop w:val="0"/>
          <w:marBottom w:val="0"/>
          <w:divBdr>
            <w:top w:val="none" w:sz="0" w:space="0" w:color="auto"/>
            <w:left w:val="none" w:sz="0" w:space="0" w:color="auto"/>
            <w:bottom w:val="none" w:sz="0" w:space="0" w:color="auto"/>
            <w:right w:val="none" w:sz="0" w:space="0" w:color="auto"/>
          </w:divBdr>
        </w:div>
        <w:div w:id="777220738">
          <w:marLeft w:val="0"/>
          <w:marRight w:val="0"/>
          <w:marTop w:val="0"/>
          <w:marBottom w:val="0"/>
          <w:divBdr>
            <w:top w:val="none" w:sz="0" w:space="0" w:color="auto"/>
            <w:left w:val="none" w:sz="0" w:space="0" w:color="auto"/>
            <w:bottom w:val="none" w:sz="0" w:space="0" w:color="auto"/>
            <w:right w:val="none" w:sz="0" w:space="0" w:color="auto"/>
          </w:divBdr>
          <w:divsChild>
            <w:div w:id="19755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vidportch@fivepap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Olivier</dc:creator>
  <cp:keywords/>
  <dc:description/>
  <cp:lastModifiedBy>Jennifer Olivier</cp:lastModifiedBy>
  <cp:revision>1</cp:revision>
  <dcterms:created xsi:type="dcterms:W3CDTF">2018-09-25T14:32:00Z</dcterms:created>
  <dcterms:modified xsi:type="dcterms:W3CDTF">2018-09-25T14:39:00Z</dcterms:modified>
</cp:coreProperties>
</file>